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eastAsiaTheme="minorHAnsi"/>
        </w:rPr>
      </w:sdtEndPr>
      <w:sdtContent>
        <w:p w:rsidR="00F07361" w:rsidRDefault="00F07361" w:rsidP="00BE1302">
          <w:pPr>
            <w:rPr>
              <w:rFonts w:eastAsiaTheme="minorEastAsia"/>
              <w:b/>
              <w:sz w:val="32"/>
              <w:lang w:val="en-US" w:eastAsia="ja-JP"/>
            </w:rPr>
          </w:pPr>
        </w:p>
        <w:p w:rsidR="00F07361" w:rsidRDefault="00BE1302" w:rsidP="00BE1302">
          <w:pPr>
            <w:jc w:val="right"/>
            <w:rPr>
              <w:rFonts w:eastAsiaTheme="minorEastAsia"/>
              <w:b/>
              <w:sz w:val="32"/>
              <w:lang w:val="en-US" w:eastAsia="ja-JP"/>
            </w:rPr>
          </w:pPr>
          <w:r>
            <w:rPr>
              <w:noProof/>
              <w:lang w:eastAsia="en-GB"/>
            </w:rPr>
            <w:drawing>
              <wp:inline distT="0" distB="0" distL="0" distR="0">
                <wp:extent cx="2447925" cy="885825"/>
                <wp:effectExtent l="19050" t="0" r="9525" b="0"/>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47925" cy="885825"/>
                        </a:xfrm>
                        <a:prstGeom prst="rect">
                          <a:avLst/>
                        </a:prstGeom>
                        <a:noFill/>
                        <a:ln w="9525">
                          <a:noFill/>
                          <a:miter lim="800000"/>
                          <a:headEnd/>
                          <a:tailEnd/>
                        </a:ln>
                      </pic:spPr>
                    </pic:pic>
                  </a:graphicData>
                </a:graphic>
              </wp:inline>
            </w:drawing>
          </w:r>
        </w:p>
        <w:p w:rsidR="00BB5571" w:rsidRPr="00BE1302" w:rsidRDefault="00BB5571" w:rsidP="00BB5571">
          <w:pPr>
            <w:jc w:val="center"/>
            <w:rPr>
              <w:rFonts w:eastAsiaTheme="minorEastAsia"/>
              <w:b/>
              <w:sz w:val="24"/>
              <w:szCs w:val="24"/>
              <w:lang w:val="en-US" w:eastAsia="ja-JP"/>
            </w:rPr>
          </w:pPr>
          <w:r w:rsidRPr="00BE1302">
            <w:rPr>
              <w:rFonts w:eastAsiaTheme="minorEastAsia"/>
              <w:b/>
              <w:sz w:val="24"/>
              <w:szCs w:val="24"/>
              <w:lang w:val="en-US" w:eastAsia="ja-JP"/>
            </w:rPr>
            <w:t xml:space="preserve"> </w:t>
          </w:r>
        </w:p>
        <w:p w:rsidR="00BB5571" w:rsidRPr="00BE1302" w:rsidRDefault="00BB5571" w:rsidP="00BB5571">
          <w:pPr>
            <w:jc w:val="center"/>
            <w:rPr>
              <w:rFonts w:eastAsiaTheme="minorEastAsia"/>
              <w:b/>
              <w:sz w:val="24"/>
              <w:szCs w:val="24"/>
              <w:lang w:val="en-US" w:eastAsia="ja-JP"/>
            </w:rPr>
          </w:pPr>
        </w:p>
        <w:p w:rsidR="00253BCA" w:rsidRPr="00BE1302" w:rsidRDefault="00253BCA" w:rsidP="00BB5571">
          <w:pPr>
            <w:jc w:val="center"/>
            <w:rPr>
              <w:rFonts w:ascii="Arial" w:eastAsiaTheme="majorEastAsia" w:hAnsi="Arial" w:cs="Arial"/>
              <w:color w:val="000000" w:themeColor="text1"/>
              <w:sz w:val="24"/>
              <w:szCs w:val="24"/>
              <w:lang w:eastAsia="ja-JP"/>
            </w:rPr>
          </w:pPr>
        </w:p>
        <w:p w:rsidR="00F07361" w:rsidRPr="003668F3" w:rsidRDefault="00B542B5" w:rsidP="00F07361">
          <w:pPr>
            <w:pBdr>
              <w:bottom w:val="single" w:sz="4" w:space="1" w:color="auto"/>
            </w:pBdr>
            <w:jc w:val="center"/>
            <w:rPr>
              <w:rFonts w:ascii="Arial" w:eastAsiaTheme="majorEastAsia" w:hAnsi="Arial" w:cs="Arial"/>
              <w:color w:val="000000" w:themeColor="text1"/>
              <w:sz w:val="72"/>
              <w:szCs w:val="72"/>
              <w:lang w:eastAsia="ja-JP"/>
            </w:rPr>
          </w:pPr>
          <w:r w:rsidRPr="00BE1302">
            <w:rPr>
              <w:rFonts w:ascii="Arial" w:eastAsiaTheme="majorEastAsia" w:hAnsi="Arial" w:cs="Arial"/>
              <w:color w:val="000000" w:themeColor="text1"/>
              <w:sz w:val="24"/>
              <w:szCs w:val="24"/>
              <w:lang w:eastAsia="ja-JP"/>
            </w:rPr>
            <w:t xml:space="preserve"> </w:t>
          </w:r>
          <w:r w:rsidR="00B17A15">
            <w:rPr>
              <w:rFonts w:ascii="Arial" w:eastAsiaTheme="majorEastAsia" w:hAnsi="Arial" w:cs="Arial"/>
              <w:color w:val="000000" w:themeColor="text1"/>
              <w:sz w:val="72"/>
              <w:szCs w:val="72"/>
              <w:lang w:eastAsia="ja-JP"/>
            </w:rPr>
            <w:t>Technical Providers’ Access to The Blandford School</w:t>
          </w:r>
          <w:r w:rsidR="00AB491C">
            <w:rPr>
              <w:rFonts w:ascii="Arial" w:eastAsiaTheme="majorEastAsia" w:hAnsi="Arial" w:cs="Arial"/>
              <w:color w:val="000000" w:themeColor="text1"/>
              <w:sz w:val="72"/>
              <w:szCs w:val="72"/>
              <w:lang w:eastAsia="ja-JP"/>
            </w:rPr>
            <w:t xml:space="preserve"> P</w:t>
          </w:r>
          <w:r w:rsidRPr="003668F3">
            <w:rPr>
              <w:rFonts w:ascii="Arial" w:eastAsiaTheme="majorEastAsia" w:hAnsi="Arial" w:cs="Arial"/>
              <w:color w:val="000000" w:themeColor="text1"/>
              <w:sz w:val="72"/>
              <w:szCs w:val="72"/>
              <w:lang w:eastAsia="ja-JP"/>
            </w:rPr>
            <w:t>olicy</w:t>
          </w:r>
        </w:p>
        <w:p w:rsidR="00BE1302" w:rsidRPr="00BE1302" w:rsidRDefault="00BE1302" w:rsidP="00F07361">
          <w:pPr>
            <w:pBdr>
              <w:bottom w:val="single" w:sz="4" w:space="1" w:color="auto"/>
            </w:pBdr>
            <w:jc w:val="center"/>
            <w:rPr>
              <w:rFonts w:ascii="Arial" w:eastAsiaTheme="majorEastAsia" w:hAnsi="Arial" w:cs="Arial"/>
              <w:color w:val="000000" w:themeColor="text1"/>
              <w:sz w:val="24"/>
              <w:szCs w:val="24"/>
              <w:lang w:eastAsia="ja-JP"/>
            </w:rPr>
          </w:pPr>
        </w:p>
        <w:p w:rsidR="00BE1302" w:rsidRPr="00BE1302" w:rsidRDefault="00BE1302" w:rsidP="00BE1302">
          <w:pPr>
            <w:pStyle w:val="Heading10"/>
            <w:numPr>
              <w:ilvl w:val="0"/>
              <w:numId w:val="0"/>
            </w:numPr>
            <w:ind w:left="360"/>
            <w:rPr>
              <w:rFonts w:asciiTheme="minorHAnsi" w:hAnsiTheme="minorHAnsi" w:cstheme="minorHAnsi"/>
              <w:b/>
              <w:sz w:val="22"/>
              <w:szCs w:val="22"/>
            </w:rPr>
          </w:pPr>
          <w:r w:rsidRPr="00BE1302">
            <w:rPr>
              <w:rFonts w:asciiTheme="minorHAnsi" w:hAnsiTheme="minorHAnsi" w:cstheme="minorHAnsi"/>
              <w:b/>
              <w:sz w:val="22"/>
              <w:szCs w:val="22"/>
            </w:rPr>
            <w:t xml:space="preserve">Policy Reviewing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4693"/>
          </w:tblGrid>
          <w:tr w:rsidR="00BE1302" w:rsidRPr="00BE1302" w:rsidTr="00B17A15">
            <w:tc>
              <w:tcPr>
                <w:tcW w:w="4401" w:type="dxa"/>
              </w:tcPr>
              <w:p w:rsidR="00BE1302" w:rsidRPr="00BE1302" w:rsidRDefault="00BE1302" w:rsidP="00D50129">
                <w:pPr>
                  <w:rPr>
                    <w:rFonts w:cstheme="minorHAnsi"/>
                  </w:rPr>
                </w:pPr>
                <w:r w:rsidRPr="00BE1302">
                  <w:rPr>
                    <w:rFonts w:cstheme="minorHAnsi"/>
                  </w:rPr>
                  <w:t>Policy Status/Review Programme</w:t>
                </w:r>
              </w:p>
            </w:tc>
            <w:tc>
              <w:tcPr>
                <w:tcW w:w="4693" w:type="dxa"/>
                <w:vAlign w:val="bottom"/>
              </w:tcPr>
              <w:p w:rsidR="00BE1302" w:rsidRPr="00BE1302" w:rsidRDefault="00B17A15" w:rsidP="00B17A15">
                <w:pPr>
                  <w:pStyle w:val="Heading2"/>
                  <w:numPr>
                    <w:ilvl w:val="0"/>
                    <w:numId w:val="0"/>
                  </w:numPr>
                  <w:ind w:left="576" w:hanging="576"/>
                  <w:rPr>
                    <w:rFonts w:asciiTheme="minorHAnsi" w:hAnsiTheme="minorHAnsi" w:cstheme="minorHAnsi"/>
                    <w:sz w:val="22"/>
                    <w:szCs w:val="22"/>
                  </w:rPr>
                </w:pPr>
                <w:r>
                  <w:rPr>
                    <w:rFonts w:asciiTheme="minorHAnsi" w:hAnsiTheme="minorHAnsi" w:cstheme="minorHAnsi"/>
                    <w:sz w:val="22"/>
                    <w:szCs w:val="22"/>
                  </w:rPr>
                  <w:t>Three yearly</w:t>
                </w:r>
              </w:p>
            </w:tc>
          </w:tr>
          <w:tr w:rsidR="00BE1302" w:rsidRPr="00BE1302" w:rsidTr="00B17A15">
            <w:tc>
              <w:tcPr>
                <w:tcW w:w="4401" w:type="dxa"/>
              </w:tcPr>
              <w:p w:rsidR="00BE1302" w:rsidRPr="00BE1302" w:rsidRDefault="00BE1302" w:rsidP="00D50129">
                <w:pPr>
                  <w:rPr>
                    <w:rFonts w:cstheme="minorHAnsi"/>
                  </w:rPr>
                </w:pPr>
                <w:r w:rsidRPr="00BE1302">
                  <w:rPr>
                    <w:rFonts w:cstheme="minorHAnsi"/>
                  </w:rPr>
                  <w:t>Reviewed by SLT</w:t>
                </w:r>
              </w:p>
            </w:tc>
            <w:tc>
              <w:tcPr>
                <w:tcW w:w="4693" w:type="dxa"/>
              </w:tcPr>
              <w:p w:rsidR="00BE1302" w:rsidRPr="00BE1302" w:rsidRDefault="00B17A15" w:rsidP="00D50129">
                <w:pPr>
                  <w:rPr>
                    <w:rFonts w:cstheme="minorHAnsi"/>
                  </w:rPr>
                </w:pPr>
                <w:r>
                  <w:rPr>
                    <w:rFonts w:cstheme="minorHAnsi"/>
                  </w:rPr>
                  <w:t>May 2019</w:t>
                </w:r>
              </w:p>
            </w:tc>
          </w:tr>
          <w:tr w:rsidR="00BE1302" w:rsidRPr="00BE1302" w:rsidTr="00B17A15">
            <w:tc>
              <w:tcPr>
                <w:tcW w:w="4401" w:type="dxa"/>
              </w:tcPr>
              <w:p w:rsidR="00BE1302" w:rsidRPr="00BE1302" w:rsidRDefault="00BE1302" w:rsidP="00D50129">
                <w:pPr>
                  <w:rPr>
                    <w:rFonts w:cstheme="minorHAnsi"/>
                  </w:rPr>
                </w:pPr>
                <w:r w:rsidRPr="00BE1302">
                  <w:rPr>
                    <w:rFonts w:cstheme="minorHAnsi"/>
                  </w:rPr>
                  <w:t>Review scheduled for</w:t>
                </w:r>
              </w:p>
            </w:tc>
            <w:tc>
              <w:tcPr>
                <w:tcW w:w="4693" w:type="dxa"/>
              </w:tcPr>
              <w:p w:rsidR="00BE1302" w:rsidRPr="00BE1302" w:rsidRDefault="00B17A15" w:rsidP="00D50129">
                <w:pPr>
                  <w:rPr>
                    <w:rFonts w:cstheme="minorHAnsi"/>
                  </w:rPr>
                </w:pPr>
                <w:r>
                  <w:rPr>
                    <w:rFonts w:cstheme="minorHAnsi"/>
                  </w:rPr>
                  <w:t>May 2022</w:t>
                </w:r>
              </w:p>
            </w:tc>
          </w:tr>
          <w:tr w:rsidR="00BE1302" w:rsidRPr="00BE1302" w:rsidTr="00B17A15">
            <w:trPr>
              <w:trHeight w:val="525"/>
            </w:trPr>
            <w:tc>
              <w:tcPr>
                <w:tcW w:w="4401" w:type="dxa"/>
              </w:tcPr>
              <w:p w:rsidR="00BE1302" w:rsidRPr="00BE1302" w:rsidRDefault="00BE1302" w:rsidP="00D50129">
                <w:pPr>
                  <w:rPr>
                    <w:rFonts w:cstheme="minorHAnsi"/>
                  </w:rPr>
                </w:pPr>
                <w:r w:rsidRPr="00BE1302">
                  <w:rPr>
                    <w:rFonts w:cstheme="minorHAnsi"/>
                  </w:rPr>
                  <w:t>Responsible Person</w:t>
                </w:r>
              </w:p>
            </w:tc>
            <w:tc>
              <w:tcPr>
                <w:tcW w:w="4693" w:type="dxa"/>
                <w:vAlign w:val="bottom"/>
              </w:tcPr>
              <w:p w:rsidR="00BE1302" w:rsidRPr="00BE1302" w:rsidRDefault="00B17A15" w:rsidP="00D50129">
                <w:pPr>
                  <w:rPr>
                    <w:rFonts w:cstheme="minorHAnsi"/>
                  </w:rPr>
                </w:pPr>
                <w:r>
                  <w:rPr>
                    <w:rFonts w:cstheme="minorHAnsi"/>
                  </w:rPr>
                  <w:t>Deputy Headteacher</w:t>
                </w:r>
              </w:p>
            </w:tc>
          </w:tr>
        </w:tbl>
        <w:p w:rsidR="00BE1302" w:rsidRPr="00BE1302" w:rsidRDefault="00BE1302" w:rsidP="00F07361">
          <w:pPr>
            <w:pBdr>
              <w:bottom w:val="single" w:sz="4" w:space="1" w:color="auto"/>
            </w:pBdr>
            <w:jc w:val="center"/>
            <w:rPr>
              <w:rFonts w:ascii="Arial" w:eastAsiaTheme="majorEastAsia" w:hAnsi="Arial" w:cs="Arial"/>
              <w:color w:val="000000" w:themeColor="text1"/>
              <w:sz w:val="24"/>
              <w:szCs w:val="24"/>
              <w:lang w:eastAsia="ja-JP"/>
            </w:rPr>
          </w:pPr>
        </w:p>
        <w:p w:rsidR="00BE1302" w:rsidRPr="00BE1302" w:rsidRDefault="00BE1302" w:rsidP="00F07361">
          <w:pPr>
            <w:pBdr>
              <w:bottom w:val="single" w:sz="4" w:space="1" w:color="auto"/>
            </w:pBdr>
            <w:jc w:val="center"/>
            <w:rPr>
              <w:rFonts w:ascii="Arial" w:eastAsiaTheme="majorEastAsia" w:hAnsi="Arial" w:cs="Arial"/>
              <w:color w:val="000000" w:themeColor="text1"/>
              <w:sz w:val="24"/>
              <w:szCs w:val="24"/>
              <w:lang w:eastAsia="ja-JP"/>
            </w:rPr>
          </w:pPr>
        </w:p>
        <w:p w:rsidR="00BE1302" w:rsidRPr="00BE1302" w:rsidRDefault="00BE1302" w:rsidP="00F07361">
          <w:pPr>
            <w:pBdr>
              <w:bottom w:val="single" w:sz="4" w:space="1" w:color="auto"/>
            </w:pBdr>
            <w:jc w:val="center"/>
            <w:rPr>
              <w:rFonts w:ascii="Arial" w:eastAsiaTheme="majorEastAsia" w:hAnsi="Arial" w:cs="Arial"/>
              <w:color w:val="000000" w:themeColor="text1"/>
              <w:sz w:val="24"/>
              <w:szCs w:val="24"/>
              <w:lang w:eastAsia="ja-JP"/>
            </w:rPr>
          </w:pPr>
        </w:p>
        <w:p w:rsidR="00BE1302" w:rsidRPr="00BE1302" w:rsidRDefault="00BE1302" w:rsidP="00BE1302">
          <w:pPr>
            <w:pBdr>
              <w:bottom w:val="single" w:sz="4" w:space="1" w:color="auto"/>
            </w:pBdr>
            <w:rPr>
              <w:rFonts w:ascii="Arial" w:eastAsiaTheme="majorEastAsia" w:hAnsi="Arial" w:cs="Arial"/>
              <w:color w:val="000000" w:themeColor="text1"/>
              <w:sz w:val="32"/>
              <w:szCs w:val="32"/>
              <w:lang w:eastAsia="ja-JP"/>
            </w:rPr>
          </w:pPr>
        </w:p>
        <w:p w:rsidR="00BE1302" w:rsidRDefault="00BE1302" w:rsidP="00F07361">
          <w:pPr>
            <w:pBdr>
              <w:bottom w:val="single" w:sz="4" w:space="1" w:color="auto"/>
            </w:pBdr>
            <w:jc w:val="center"/>
            <w:rPr>
              <w:rFonts w:ascii="Arial" w:eastAsiaTheme="majorEastAsia" w:hAnsi="Arial" w:cs="Arial"/>
              <w:color w:val="000000" w:themeColor="text1"/>
              <w:sz w:val="72"/>
              <w:szCs w:val="80"/>
              <w:lang w:eastAsia="ja-JP"/>
            </w:rPr>
            <w:sectPr w:rsidR="00BE1302" w:rsidSect="00BE1302">
              <w:headerReference w:type="default" r:id="rId9"/>
              <w:pgSz w:w="11906" w:h="16838" w:code="9"/>
              <w:pgMar w:top="1247" w:right="1276" w:bottom="1440" w:left="1276" w:header="709" w:footer="709" w:gutter="0"/>
              <w:pgBorders w:offsetFrom="page">
                <w:top w:val="single" w:sz="18" w:space="24" w:color="7F0549" w:themeColor="accent6" w:themeTint="E6"/>
                <w:left w:val="single" w:sz="18" w:space="24" w:color="7F0549" w:themeColor="accent6" w:themeTint="E6"/>
                <w:bottom w:val="single" w:sz="18" w:space="24" w:color="7F0549" w:themeColor="accent6" w:themeTint="E6"/>
                <w:right w:val="single" w:sz="18" w:space="24" w:color="7F0549" w:themeColor="accent6" w:themeTint="E6"/>
              </w:pgBorders>
              <w:cols w:space="708"/>
              <w:docGrid w:linePitch="360"/>
            </w:sectPr>
          </w:pPr>
        </w:p>
        <w:p w:rsidR="00B17A15" w:rsidRDefault="00E964BC" w:rsidP="00B17A15">
          <w:pPr>
            <w:rPr>
              <w:b/>
              <w:sz w:val="32"/>
              <w:lang w:val="en-US" w:eastAsia="ja-JP"/>
            </w:rPr>
          </w:pPr>
        </w:p>
      </w:sdtContent>
    </w:sdt>
    <w:p w:rsidR="00B17A15" w:rsidRPr="00981D12" w:rsidRDefault="00B17A15" w:rsidP="00B17A15">
      <w:pPr>
        <w:rPr>
          <w:b/>
        </w:rPr>
      </w:pPr>
      <w:r w:rsidRPr="00981D12">
        <w:rPr>
          <w:b/>
        </w:rPr>
        <w:t>Student entitlement</w:t>
      </w:r>
    </w:p>
    <w:p w:rsidR="00B17A15" w:rsidRDefault="00B17A15" w:rsidP="00B17A15">
      <w:r>
        <w:t xml:space="preserve">The Blandford School is committed to providing students with access to the best possible courses for individual students and recognises the value of technical education. While the school aims to ensure a broad and balanced curriculum with a range of suitable courses, it is not possible to provide all courses and other providers may be in a position to provide alternatives. </w:t>
      </w:r>
    </w:p>
    <w:p w:rsidR="00B17A15" w:rsidRPr="00981D12" w:rsidRDefault="00B17A15" w:rsidP="00B17A15">
      <w:pPr>
        <w:rPr>
          <w:b/>
        </w:rPr>
      </w:pPr>
      <w:r>
        <w:rPr>
          <w:b/>
        </w:rPr>
        <w:t xml:space="preserve">Opportunities for access </w:t>
      </w:r>
    </w:p>
    <w:p w:rsidR="00B17A15" w:rsidRDefault="00B17A15" w:rsidP="00B17A15">
      <w:r>
        <w:t>Other providers can request access to inform students of the qualifications they have to offer and will be able to inform students of the opportunities they offer in the following ways:</w:t>
      </w:r>
    </w:p>
    <w:p w:rsidR="00B17A15" w:rsidRDefault="00B17A15" w:rsidP="00B17A15">
      <w:r>
        <w:t xml:space="preserve">By speaking to students in assemblies or as part of our tutorial programme (Presenters will have access to IT, data projection and sound) or by attending other school events such as open evenings and information evenings, for these providers can set up a stand in a location provided by the school. </w:t>
      </w:r>
    </w:p>
    <w:p w:rsidR="00B17A15" w:rsidRPr="00981D12" w:rsidRDefault="00B17A15" w:rsidP="00B17A15">
      <w:pPr>
        <w:rPr>
          <w:b/>
        </w:rPr>
      </w:pPr>
      <w:r>
        <w:rPr>
          <w:b/>
        </w:rPr>
        <w:t>How providers can request access</w:t>
      </w:r>
    </w:p>
    <w:p w:rsidR="00B17A15" w:rsidRDefault="00B17A15" w:rsidP="00B17A15">
      <w:r>
        <w:t xml:space="preserve">Providers wishing to access the school will be required to provide 12 weeks’ notice (in writing to the Headteacher) to ensure plans can be made to facilitate their visit. They will also be required to provide the school with a copy of any presentation for assemblies or written material they wish to distribute to students, at least 4 weeks prior to the event so that the school is informed of the content. Providers may request to leave written material, such as prospectuses, these will be made available to students in the careers section of the library. </w:t>
      </w:r>
    </w:p>
    <w:p w:rsidR="00B17A15" w:rsidRDefault="00B17A15" w:rsidP="00B17A15">
      <w:r>
        <w:t xml:space="preserve">All reasonable requests for access will be granted, providing that the content of any presentation is deemed suitable, sufficient notice is given to allow the school to prepare and there is not unreasonable disruption to the school and lessons. </w:t>
      </w:r>
    </w:p>
    <w:p w:rsidR="00B17A15" w:rsidRPr="00981D12" w:rsidRDefault="00B17A15" w:rsidP="00B17A15">
      <w:pPr>
        <w:rPr>
          <w:b/>
        </w:rPr>
      </w:pPr>
      <w:r>
        <w:rPr>
          <w:b/>
        </w:rPr>
        <w:t>Expectations of providers visiting the school</w:t>
      </w:r>
    </w:p>
    <w:p w:rsidR="00B17A15" w:rsidRDefault="00B17A15" w:rsidP="00B17A15">
      <w:r>
        <w:t xml:space="preserve">Providers will only be permitted to promote qualifications which are both Section 96 approved and that are approved for the relevant performance tables. Providers will also be expected to make it clear the full curriculum that students would be expected to follow at the institution, rather than individual specific courses in isolation and the benefits and disadvantages of such a study programme, as well as alternative progression routes to such programmes or careers at the end of schooling aged 16 and 18 so that students are fully informed of the alternatives. </w:t>
      </w:r>
    </w:p>
    <w:p w:rsidR="00B17A15" w:rsidRDefault="00B17A15" w:rsidP="00B17A15">
      <w:r>
        <w:t xml:space="preserve">Providers who either fail to provide the required notice or break the above terms may not be permitted access to the school. </w:t>
      </w:r>
    </w:p>
    <w:p w:rsidR="00B17A15" w:rsidRDefault="00B17A15" w:rsidP="00B17A15">
      <w:r>
        <w:t xml:space="preserve">Providers will also be expected to adhere to all of The Blandford School’s safeguarding procedures when visiting the school. </w:t>
      </w:r>
    </w:p>
    <w:p w:rsidR="00AD4155" w:rsidRPr="001509F4" w:rsidRDefault="00AD4155" w:rsidP="00196303">
      <w:pPr>
        <w:rPr>
          <w:b/>
          <w:sz w:val="32"/>
          <w:lang w:val="en-US" w:eastAsia="ja-JP"/>
        </w:rPr>
      </w:pPr>
    </w:p>
    <w:sectPr w:rsidR="00AD4155" w:rsidRPr="001509F4" w:rsidSect="00BE1302">
      <w:pgSz w:w="11906" w:h="16838"/>
      <w:pgMar w:top="1440" w:right="1440" w:bottom="1440" w:left="1440" w:header="564" w:footer="708" w:gutter="0"/>
      <w:pgBorders w:offsetFrom="page">
        <w:top w:val="single" w:sz="18" w:space="24" w:color="7F0549" w:themeColor="accent6" w:themeTint="E6"/>
        <w:left w:val="single" w:sz="18" w:space="24" w:color="7F0549" w:themeColor="accent6" w:themeTint="E6"/>
        <w:bottom w:val="single" w:sz="18" w:space="24" w:color="7F0549" w:themeColor="accent6" w:themeTint="E6"/>
        <w:right w:val="single" w:sz="18" w:space="24" w:color="7F0549" w:themeColor="accent6" w:themeTint="E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BC" w:rsidRDefault="00E964BC" w:rsidP="00AD4155">
      <w:pPr>
        <w:spacing w:after="0" w:line="240" w:lineRule="auto"/>
      </w:pPr>
      <w:r>
        <w:separator/>
      </w:r>
    </w:p>
  </w:endnote>
  <w:endnote w:type="continuationSeparator" w:id="0">
    <w:p w:rsidR="00E964BC" w:rsidRDefault="00E964B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9A0BD67-CB50-4E7E-B9B2-70FE9D013B58}"/>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BC" w:rsidRDefault="00E964BC" w:rsidP="00AD4155">
      <w:pPr>
        <w:spacing w:after="0" w:line="240" w:lineRule="auto"/>
      </w:pPr>
      <w:r>
        <w:separator/>
      </w:r>
    </w:p>
  </w:footnote>
  <w:footnote w:type="continuationSeparator" w:id="0">
    <w:p w:rsidR="00E964BC" w:rsidRDefault="00E964B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97" w:rsidRDefault="00186497" w:rsidP="00186497">
    <w:pPr>
      <w:pStyle w:val="Header"/>
      <w:tabs>
        <w:tab w:val="clear" w:pos="4513"/>
        <w:tab w:val="clear" w:pos="9026"/>
        <w:tab w:val="left" w:pos="17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7F5"/>
    <w:multiLevelType w:val="multilevel"/>
    <w:tmpl w:val="9AB495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D372D"/>
    <w:multiLevelType w:val="multilevel"/>
    <w:tmpl w:val="D6925A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E1501"/>
    <w:multiLevelType w:val="hybridMultilevel"/>
    <w:tmpl w:val="FED6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3AA0"/>
    <w:multiLevelType w:val="hybridMultilevel"/>
    <w:tmpl w:val="86CA8DA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AD49EA"/>
    <w:multiLevelType w:val="hybridMultilevel"/>
    <w:tmpl w:val="C47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2F9F"/>
    <w:multiLevelType w:val="hybridMultilevel"/>
    <w:tmpl w:val="3C6EB54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7" w15:restartNumberingAfterBreak="0">
    <w:nsid w:val="1949454C"/>
    <w:multiLevelType w:val="hybridMultilevel"/>
    <w:tmpl w:val="798C8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637CD"/>
    <w:multiLevelType w:val="hybridMultilevel"/>
    <w:tmpl w:val="F3A2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24607"/>
    <w:multiLevelType w:val="hybridMultilevel"/>
    <w:tmpl w:val="84A66B5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3809B1"/>
    <w:multiLevelType w:val="multilevel"/>
    <w:tmpl w:val="816EE3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DE2F6B"/>
    <w:multiLevelType w:val="multilevel"/>
    <w:tmpl w:val="9566E3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AB68D7"/>
    <w:multiLevelType w:val="multilevel"/>
    <w:tmpl w:val="990009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B10F3"/>
    <w:multiLevelType w:val="hybridMultilevel"/>
    <w:tmpl w:val="C638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C334F"/>
    <w:multiLevelType w:val="multilevel"/>
    <w:tmpl w:val="816EE3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2F6075"/>
    <w:multiLevelType w:val="hybridMultilevel"/>
    <w:tmpl w:val="81763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B3BEA"/>
    <w:multiLevelType w:val="hybridMultilevel"/>
    <w:tmpl w:val="6C36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C10F6"/>
    <w:multiLevelType w:val="hybridMultilevel"/>
    <w:tmpl w:val="BEC41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6F528C"/>
    <w:multiLevelType w:val="multilevel"/>
    <w:tmpl w:val="1C147DA8"/>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9" w15:restartNumberingAfterBreak="0">
    <w:nsid w:val="391A68BF"/>
    <w:multiLevelType w:val="hybridMultilevel"/>
    <w:tmpl w:val="80ACE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29277F"/>
    <w:multiLevelType w:val="multilevel"/>
    <w:tmpl w:val="F8B858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9212FE"/>
    <w:multiLevelType w:val="hybridMultilevel"/>
    <w:tmpl w:val="B1BE46A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2" w15:restartNumberingAfterBreak="0">
    <w:nsid w:val="3FBE1D74"/>
    <w:multiLevelType w:val="hybridMultilevel"/>
    <w:tmpl w:val="2DDE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021D7"/>
    <w:multiLevelType w:val="hybridMultilevel"/>
    <w:tmpl w:val="FBF8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C22A1"/>
    <w:multiLevelType w:val="multilevel"/>
    <w:tmpl w:val="7C621AEA"/>
    <w:numStyleLink w:val="Style1"/>
  </w:abstractNum>
  <w:abstractNum w:abstractNumId="25" w15:restartNumberingAfterBreak="0">
    <w:nsid w:val="446D56FA"/>
    <w:multiLevelType w:val="hybridMultilevel"/>
    <w:tmpl w:val="0C64B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686B3E"/>
    <w:multiLevelType w:val="hybridMultilevel"/>
    <w:tmpl w:val="DDCA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A61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4C3C1A"/>
    <w:multiLevelType w:val="multilevel"/>
    <w:tmpl w:val="0018D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76701F"/>
    <w:multiLevelType w:val="hybridMultilevel"/>
    <w:tmpl w:val="58B48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6671A1"/>
    <w:multiLevelType w:val="hybridMultilevel"/>
    <w:tmpl w:val="F2288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896345"/>
    <w:multiLevelType w:val="multilevel"/>
    <w:tmpl w:val="23C21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7A63EB"/>
    <w:multiLevelType w:val="hybridMultilevel"/>
    <w:tmpl w:val="3392C4D4"/>
    <w:lvl w:ilvl="0" w:tplc="8A86D79C">
      <w:start w:val="1"/>
      <w:numFmt w:val="bullet"/>
      <w:pStyle w:val="TSB-PolicyBullets"/>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4" w15:restartNumberingAfterBreak="0">
    <w:nsid w:val="56942CD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1101FF"/>
    <w:multiLevelType w:val="multilevel"/>
    <w:tmpl w:val="770C7514"/>
    <w:lvl w:ilvl="0">
      <w:start w:val="1"/>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6" w15:restartNumberingAfterBreak="0">
    <w:nsid w:val="61C10330"/>
    <w:multiLevelType w:val="hybridMultilevel"/>
    <w:tmpl w:val="9198E864"/>
    <w:lvl w:ilvl="0" w:tplc="EC0883EC">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ED3676D"/>
    <w:multiLevelType w:val="hybridMultilevel"/>
    <w:tmpl w:val="3112D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0E4050"/>
    <w:multiLevelType w:val="hybridMultilevel"/>
    <w:tmpl w:val="22DA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86557"/>
    <w:multiLevelType w:val="multilevel"/>
    <w:tmpl w:val="816EE3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0642E2"/>
    <w:multiLevelType w:val="hybridMultilevel"/>
    <w:tmpl w:val="399C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F237D"/>
    <w:multiLevelType w:val="hybridMultilevel"/>
    <w:tmpl w:val="67FEE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8"/>
  </w:num>
  <w:num w:numId="3">
    <w:abstractNumId w:val="31"/>
  </w:num>
  <w:num w:numId="4">
    <w:abstractNumId w:val="2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33"/>
  </w:num>
  <w:num w:numId="7">
    <w:abstractNumId w:val="24"/>
    <w:lvlOverride w:ilvl="0">
      <w:lvl w:ilvl="0">
        <w:start w:val="1"/>
        <w:numFmt w:val="decimal"/>
        <w:pStyle w:val="Heading10"/>
        <w:lvlText w:val="%1."/>
        <w:lvlJc w:val="left"/>
        <w:pPr>
          <w:ind w:left="360" w:hanging="360"/>
        </w:pPr>
        <w:rPr>
          <w:rFonts w:asciiTheme="minorHAnsi" w:eastAsiaTheme="minorHAnsi" w:hAnsiTheme="minorHAnsi" w:cstheme="minorBidi"/>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3"/>
  </w:num>
  <w:num w:numId="10">
    <w:abstractNumId w:val="42"/>
  </w:num>
  <w:num w:numId="11">
    <w:abstractNumId w:val="23"/>
  </w:num>
  <w:num w:numId="12">
    <w:abstractNumId w:val="26"/>
  </w:num>
  <w:num w:numId="13">
    <w:abstractNumId w:val="8"/>
  </w:num>
  <w:num w:numId="14">
    <w:abstractNumId w:val="16"/>
  </w:num>
  <w:num w:numId="15">
    <w:abstractNumId w:val="2"/>
  </w:num>
  <w:num w:numId="16">
    <w:abstractNumId w:val="13"/>
  </w:num>
  <w:num w:numId="17">
    <w:abstractNumId w:val="40"/>
  </w:num>
  <w:num w:numId="18">
    <w:abstractNumId w:val="9"/>
  </w:num>
  <w:num w:numId="19">
    <w:abstractNumId w:val="5"/>
  </w:num>
  <w:num w:numId="20">
    <w:abstractNumId w:val="36"/>
  </w:num>
  <w:num w:numId="21">
    <w:abstractNumId w:val="32"/>
  </w:num>
  <w:num w:numId="22">
    <w:abstractNumId w:val="12"/>
  </w:num>
  <w:num w:numId="23">
    <w:abstractNumId w:val="30"/>
  </w:num>
  <w:num w:numId="24">
    <w:abstractNumId w:val="6"/>
  </w:num>
  <w:num w:numId="25">
    <w:abstractNumId w:val="19"/>
  </w:num>
  <w:num w:numId="26">
    <w:abstractNumId w:val="25"/>
  </w:num>
  <w:num w:numId="27">
    <w:abstractNumId w:val="43"/>
  </w:num>
  <w:num w:numId="28">
    <w:abstractNumId w:val="17"/>
  </w:num>
  <w:num w:numId="29">
    <w:abstractNumId w:val="7"/>
  </w:num>
  <w:num w:numId="30">
    <w:abstractNumId w:val="39"/>
  </w:num>
  <w:num w:numId="31">
    <w:abstractNumId w:val="15"/>
  </w:num>
  <w:num w:numId="32">
    <w:abstractNumId w:val="21"/>
  </w:num>
  <w:num w:numId="33">
    <w:abstractNumId w:val="35"/>
  </w:num>
  <w:num w:numId="34">
    <w:abstractNumId w:val="0"/>
  </w:num>
  <w:num w:numId="35">
    <w:abstractNumId w:val="18"/>
  </w:num>
  <w:num w:numId="36">
    <w:abstractNumId w:val="27"/>
  </w:num>
  <w:num w:numId="37">
    <w:abstractNumId w:val="28"/>
  </w:num>
  <w:num w:numId="38">
    <w:abstractNumId w:val="11"/>
  </w:num>
  <w:num w:numId="39">
    <w:abstractNumId w:val="34"/>
  </w:num>
  <w:num w:numId="40">
    <w:abstractNumId w:val="29"/>
  </w:num>
  <w:num w:numId="41">
    <w:abstractNumId w:val="14"/>
  </w:num>
  <w:num w:numId="42">
    <w:abstractNumId w:val="10"/>
  </w:num>
  <w:num w:numId="43">
    <w:abstractNumId w:val="41"/>
  </w:num>
  <w:num w:numId="44">
    <w:abstractNumId w:val="20"/>
  </w:num>
  <w:num w:numId="4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4"/>
    <w:rsid w:val="000100B6"/>
    <w:rsid w:val="0001177F"/>
    <w:rsid w:val="000118E2"/>
    <w:rsid w:val="00014CF2"/>
    <w:rsid w:val="00015C00"/>
    <w:rsid w:val="00016941"/>
    <w:rsid w:val="00026E67"/>
    <w:rsid w:val="000309F5"/>
    <w:rsid w:val="00037174"/>
    <w:rsid w:val="000402B3"/>
    <w:rsid w:val="00040C15"/>
    <w:rsid w:val="00040E9B"/>
    <w:rsid w:val="0004203D"/>
    <w:rsid w:val="00042069"/>
    <w:rsid w:val="000424D3"/>
    <w:rsid w:val="00047288"/>
    <w:rsid w:val="00056533"/>
    <w:rsid w:val="000567E2"/>
    <w:rsid w:val="000606F6"/>
    <w:rsid w:val="00063F54"/>
    <w:rsid w:val="00065C6B"/>
    <w:rsid w:val="00076595"/>
    <w:rsid w:val="00080091"/>
    <w:rsid w:val="00083E88"/>
    <w:rsid w:val="00086CF9"/>
    <w:rsid w:val="000920B6"/>
    <w:rsid w:val="00095EF3"/>
    <w:rsid w:val="000A621C"/>
    <w:rsid w:val="000A6B9C"/>
    <w:rsid w:val="000A738F"/>
    <w:rsid w:val="000B1080"/>
    <w:rsid w:val="000B11F3"/>
    <w:rsid w:val="000B16CC"/>
    <w:rsid w:val="000B213E"/>
    <w:rsid w:val="000B44E5"/>
    <w:rsid w:val="000B4624"/>
    <w:rsid w:val="000B5097"/>
    <w:rsid w:val="000B7B80"/>
    <w:rsid w:val="000B7C9B"/>
    <w:rsid w:val="000C061E"/>
    <w:rsid w:val="000C7259"/>
    <w:rsid w:val="000D00DE"/>
    <w:rsid w:val="000D32B6"/>
    <w:rsid w:val="000D618A"/>
    <w:rsid w:val="000D6CB9"/>
    <w:rsid w:val="000E006C"/>
    <w:rsid w:val="000E2C37"/>
    <w:rsid w:val="000E3A6F"/>
    <w:rsid w:val="000E451C"/>
    <w:rsid w:val="000E4979"/>
    <w:rsid w:val="000E6EDE"/>
    <w:rsid w:val="000F0BDC"/>
    <w:rsid w:val="000F1DB1"/>
    <w:rsid w:val="000F2717"/>
    <w:rsid w:val="000F5FE6"/>
    <w:rsid w:val="000F6641"/>
    <w:rsid w:val="001027B0"/>
    <w:rsid w:val="00102F13"/>
    <w:rsid w:val="001041F9"/>
    <w:rsid w:val="00104487"/>
    <w:rsid w:val="00107CE2"/>
    <w:rsid w:val="00111AB1"/>
    <w:rsid w:val="00112B99"/>
    <w:rsid w:val="00114F0B"/>
    <w:rsid w:val="001161EF"/>
    <w:rsid w:val="00122ED0"/>
    <w:rsid w:val="0012519B"/>
    <w:rsid w:val="001274D5"/>
    <w:rsid w:val="00127C83"/>
    <w:rsid w:val="0013259E"/>
    <w:rsid w:val="001352CE"/>
    <w:rsid w:val="001509F4"/>
    <w:rsid w:val="00160799"/>
    <w:rsid w:val="001635E9"/>
    <w:rsid w:val="00164909"/>
    <w:rsid w:val="00166C2A"/>
    <w:rsid w:val="0016748F"/>
    <w:rsid w:val="00167B69"/>
    <w:rsid w:val="0017087A"/>
    <w:rsid w:val="001709BB"/>
    <w:rsid w:val="00171113"/>
    <w:rsid w:val="001769DF"/>
    <w:rsid w:val="00180455"/>
    <w:rsid w:val="00182077"/>
    <w:rsid w:val="00182DA5"/>
    <w:rsid w:val="00186497"/>
    <w:rsid w:val="00187874"/>
    <w:rsid w:val="00191CCB"/>
    <w:rsid w:val="001924E2"/>
    <w:rsid w:val="00194662"/>
    <w:rsid w:val="00194FC5"/>
    <w:rsid w:val="00196303"/>
    <w:rsid w:val="00196AEB"/>
    <w:rsid w:val="001977AF"/>
    <w:rsid w:val="001A18B6"/>
    <w:rsid w:val="001A1AF6"/>
    <w:rsid w:val="001A4B45"/>
    <w:rsid w:val="001A4BE7"/>
    <w:rsid w:val="001A64FD"/>
    <w:rsid w:val="001A6604"/>
    <w:rsid w:val="001A79FA"/>
    <w:rsid w:val="001B0D61"/>
    <w:rsid w:val="001B290B"/>
    <w:rsid w:val="001B2C7F"/>
    <w:rsid w:val="001B4BEB"/>
    <w:rsid w:val="001B4F2C"/>
    <w:rsid w:val="001B581C"/>
    <w:rsid w:val="001B60C3"/>
    <w:rsid w:val="001B76C4"/>
    <w:rsid w:val="001C0534"/>
    <w:rsid w:val="001C173E"/>
    <w:rsid w:val="001C181C"/>
    <w:rsid w:val="001C3D56"/>
    <w:rsid w:val="001C55C2"/>
    <w:rsid w:val="001C6D2B"/>
    <w:rsid w:val="001D0981"/>
    <w:rsid w:val="001E1528"/>
    <w:rsid w:val="001E5AF6"/>
    <w:rsid w:val="001E5BB1"/>
    <w:rsid w:val="001E6910"/>
    <w:rsid w:val="001F3CFB"/>
    <w:rsid w:val="001F664E"/>
    <w:rsid w:val="00201B4B"/>
    <w:rsid w:val="00203E27"/>
    <w:rsid w:val="002043C6"/>
    <w:rsid w:val="00206835"/>
    <w:rsid w:val="00207C5A"/>
    <w:rsid w:val="00212661"/>
    <w:rsid w:val="00215CC6"/>
    <w:rsid w:val="00220DF6"/>
    <w:rsid w:val="002255EF"/>
    <w:rsid w:val="002333A7"/>
    <w:rsid w:val="00234463"/>
    <w:rsid w:val="00237B28"/>
    <w:rsid w:val="00240743"/>
    <w:rsid w:val="00240E20"/>
    <w:rsid w:val="00241BCE"/>
    <w:rsid w:val="00242A2F"/>
    <w:rsid w:val="002455D7"/>
    <w:rsid w:val="002470C8"/>
    <w:rsid w:val="00251899"/>
    <w:rsid w:val="00253BCA"/>
    <w:rsid w:val="002636F6"/>
    <w:rsid w:val="0028203B"/>
    <w:rsid w:val="0028407E"/>
    <w:rsid w:val="00285028"/>
    <w:rsid w:val="0029265C"/>
    <w:rsid w:val="002A2040"/>
    <w:rsid w:val="002A43B2"/>
    <w:rsid w:val="002B6711"/>
    <w:rsid w:val="002C20A7"/>
    <w:rsid w:val="002C220C"/>
    <w:rsid w:val="002C3AF5"/>
    <w:rsid w:val="002C4AE2"/>
    <w:rsid w:val="002C64EB"/>
    <w:rsid w:val="002C7582"/>
    <w:rsid w:val="002D349C"/>
    <w:rsid w:val="002D4754"/>
    <w:rsid w:val="002E0B9D"/>
    <w:rsid w:val="002E2188"/>
    <w:rsid w:val="002E404D"/>
    <w:rsid w:val="002E6879"/>
    <w:rsid w:val="002E7CDC"/>
    <w:rsid w:val="002F2CF8"/>
    <w:rsid w:val="003001A4"/>
    <w:rsid w:val="0030358B"/>
    <w:rsid w:val="00310EF5"/>
    <w:rsid w:val="003129E4"/>
    <w:rsid w:val="00313692"/>
    <w:rsid w:val="00314964"/>
    <w:rsid w:val="003251F2"/>
    <w:rsid w:val="00330BD2"/>
    <w:rsid w:val="00330F8D"/>
    <w:rsid w:val="0034160E"/>
    <w:rsid w:val="00350000"/>
    <w:rsid w:val="0035319B"/>
    <w:rsid w:val="003573B4"/>
    <w:rsid w:val="00360133"/>
    <w:rsid w:val="00361211"/>
    <w:rsid w:val="003625AB"/>
    <w:rsid w:val="003668F3"/>
    <w:rsid w:val="00370C8D"/>
    <w:rsid w:val="00370F77"/>
    <w:rsid w:val="00375EB1"/>
    <w:rsid w:val="0037681B"/>
    <w:rsid w:val="00382ADF"/>
    <w:rsid w:val="0039018A"/>
    <w:rsid w:val="003909B6"/>
    <w:rsid w:val="003932D7"/>
    <w:rsid w:val="00393B37"/>
    <w:rsid w:val="003979AE"/>
    <w:rsid w:val="003A4C04"/>
    <w:rsid w:val="003A6AA1"/>
    <w:rsid w:val="003B0AE5"/>
    <w:rsid w:val="003B1ABB"/>
    <w:rsid w:val="003B239B"/>
    <w:rsid w:val="003B25E8"/>
    <w:rsid w:val="003B2C96"/>
    <w:rsid w:val="003B628D"/>
    <w:rsid w:val="003B6B98"/>
    <w:rsid w:val="003C0592"/>
    <w:rsid w:val="003C35A4"/>
    <w:rsid w:val="003C3C79"/>
    <w:rsid w:val="003D4877"/>
    <w:rsid w:val="003D4CAA"/>
    <w:rsid w:val="003D7107"/>
    <w:rsid w:val="003E2874"/>
    <w:rsid w:val="003E50AF"/>
    <w:rsid w:val="003E67C4"/>
    <w:rsid w:val="003E7CE4"/>
    <w:rsid w:val="003F05B5"/>
    <w:rsid w:val="003F0A4B"/>
    <w:rsid w:val="003F2E2E"/>
    <w:rsid w:val="003F5934"/>
    <w:rsid w:val="003F5C52"/>
    <w:rsid w:val="00402FF6"/>
    <w:rsid w:val="0040475D"/>
    <w:rsid w:val="004117E7"/>
    <w:rsid w:val="00413263"/>
    <w:rsid w:val="00413367"/>
    <w:rsid w:val="00413A12"/>
    <w:rsid w:val="00416A63"/>
    <w:rsid w:val="00417756"/>
    <w:rsid w:val="00417A30"/>
    <w:rsid w:val="00417DAB"/>
    <w:rsid w:val="00426A96"/>
    <w:rsid w:val="00426B6A"/>
    <w:rsid w:val="00430A0C"/>
    <w:rsid w:val="00430AA0"/>
    <w:rsid w:val="00430D7A"/>
    <w:rsid w:val="00432DA9"/>
    <w:rsid w:val="0043497B"/>
    <w:rsid w:val="00434D98"/>
    <w:rsid w:val="004354E8"/>
    <w:rsid w:val="004375F2"/>
    <w:rsid w:val="004407E6"/>
    <w:rsid w:val="00441947"/>
    <w:rsid w:val="00444F88"/>
    <w:rsid w:val="00445161"/>
    <w:rsid w:val="00447D9E"/>
    <w:rsid w:val="0045444D"/>
    <w:rsid w:val="004571F7"/>
    <w:rsid w:val="0045782A"/>
    <w:rsid w:val="004578B1"/>
    <w:rsid w:val="00461D57"/>
    <w:rsid w:val="00462C4F"/>
    <w:rsid w:val="00465987"/>
    <w:rsid w:val="00466259"/>
    <w:rsid w:val="00471E10"/>
    <w:rsid w:val="00472C64"/>
    <w:rsid w:val="004749B4"/>
    <w:rsid w:val="00475044"/>
    <w:rsid w:val="00475594"/>
    <w:rsid w:val="00480C32"/>
    <w:rsid w:val="00482C00"/>
    <w:rsid w:val="00483FE0"/>
    <w:rsid w:val="004843E1"/>
    <w:rsid w:val="00487590"/>
    <w:rsid w:val="00490625"/>
    <w:rsid w:val="00491F60"/>
    <w:rsid w:val="004A2A51"/>
    <w:rsid w:val="004A4661"/>
    <w:rsid w:val="004A4984"/>
    <w:rsid w:val="004B0546"/>
    <w:rsid w:val="004C0C85"/>
    <w:rsid w:val="004C1698"/>
    <w:rsid w:val="004C1B0D"/>
    <w:rsid w:val="004C44C5"/>
    <w:rsid w:val="004C5DDB"/>
    <w:rsid w:val="004C69B5"/>
    <w:rsid w:val="004C6B7F"/>
    <w:rsid w:val="004D36A1"/>
    <w:rsid w:val="004D5CF7"/>
    <w:rsid w:val="004E018D"/>
    <w:rsid w:val="004E4E2B"/>
    <w:rsid w:val="004F00FC"/>
    <w:rsid w:val="004F014D"/>
    <w:rsid w:val="004F03DD"/>
    <w:rsid w:val="004F1637"/>
    <w:rsid w:val="004F364C"/>
    <w:rsid w:val="004F3F3D"/>
    <w:rsid w:val="004F62DC"/>
    <w:rsid w:val="005025ED"/>
    <w:rsid w:val="00502F84"/>
    <w:rsid w:val="00503FE4"/>
    <w:rsid w:val="00504FA7"/>
    <w:rsid w:val="00510B45"/>
    <w:rsid w:val="00511050"/>
    <w:rsid w:val="005138C6"/>
    <w:rsid w:val="00522DC2"/>
    <w:rsid w:val="00527A84"/>
    <w:rsid w:val="00551A23"/>
    <w:rsid w:val="005532C2"/>
    <w:rsid w:val="0055527A"/>
    <w:rsid w:val="00557FBC"/>
    <w:rsid w:val="00560CCA"/>
    <w:rsid w:val="00562D6D"/>
    <w:rsid w:val="00563A69"/>
    <w:rsid w:val="00564BEE"/>
    <w:rsid w:val="00566EA3"/>
    <w:rsid w:val="00570D08"/>
    <w:rsid w:val="00576629"/>
    <w:rsid w:val="00583213"/>
    <w:rsid w:val="00583FC6"/>
    <w:rsid w:val="00585773"/>
    <w:rsid w:val="005918E9"/>
    <w:rsid w:val="00593D35"/>
    <w:rsid w:val="005970E7"/>
    <w:rsid w:val="00597AE2"/>
    <w:rsid w:val="00597FF3"/>
    <w:rsid w:val="005B132B"/>
    <w:rsid w:val="005B1C5F"/>
    <w:rsid w:val="005B268E"/>
    <w:rsid w:val="005C15E4"/>
    <w:rsid w:val="005C1C4B"/>
    <w:rsid w:val="005C31A9"/>
    <w:rsid w:val="005C330E"/>
    <w:rsid w:val="005C68F8"/>
    <w:rsid w:val="005D369B"/>
    <w:rsid w:val="005D391F"/>
    <w:rsid w:val="005D4EF0"/>
    <w:rsid w:val="005E041B"/>
    <w:rsid w:val="005E0AC7"/>
    <w:rsid w:val="005E412E"/>
    <w:rsid w:val="005F292F"/>
    <w:rsid w:val="005F3E9D"/>
    <w:rsid w:val="006006D4"/>
    <w:rsid w:val="00603B1D"/>
    <w:rsid w:val="006055E4"/>
    <w:rsid w:val="00610CE8"/>
    <w:rsid w:val="00613D2C"/>
    <w:rsid w:val="00616F0B"/>
    <w:rsid w:val="00621613"/>
    <w:rsid w:val="00625993"/>
    <w:rsid w:val="00626EF8"/>
    <w:rsid w:val="006272AA"/>
    <w:rsid w:val="006278F1"/>
    <w:rsid w:val="00631F57"/>
    <w:rsid w:val="0064440E"/>
    <w:rsid w:val="0064490A"/>
    <w:rsid w:val="0064663F"/>
    <w:rsid w:val="00651A5D"/>
    <w:rsid w:val="00652FB4"/>
    <w:rsid w:val="00653A10"/>
    <w:rsid w:val="0065414D"/>
    <w:rsid w:val="0066442C"/>
    <w:rsid w:val="00665B41"/>
    <w:rsid w:val="0067438C"/>
    <w:rsid w:val="00674B0B"/>
    <w:rsid w:val="00675537"/>
    <w:rsid w:val="006808B9"/>
    <w:rsid w:val="00680C23"/>
    <w:rsid w:val="00682EB6"/>
    <w:rsid w:val="0068332B"/>
    <w:rsid w:val="00683C65"/>
    <w:rsid w:val="00684ECC"/>
    <w:rsid w:val="006868B1"/>
    <w:rsid w:val="00686EE1"/>
    <w:rsid w:val="00692CFA"/>
    <w:rsid w:val="006A172A"/>
    <w:rsid w:val="006A6754"/>
    <w:rsid w:val="006A6F6A"/>
    <w:rsid w:val="006B2F2F"/>
    <w:rsid w:val="006B455C"/>
    <w:rsid w:val="006B77D1"/>
    <w:rsid w:val="006C2636"/>
    <w:rsid w:val="006C3085"/>
    <w:rsid w:val="006C7577"/>
    <w:rsid w:val="006D56AC"/>
    <w:rsid w:val="006D7730"/>
    <w:rsid w:val="006D7F0C"/>
    <w:rsid w:val="006E203B"/>
    <w:rsid w:val="006E4D56"/>
    <w:rsid w:val="006E5714"/>
    <w:rsid w:val="006E6EA7"/>
    <w:rsid w:val="006E770D"/>
    <w:rsid w:val="006F0B36"/>
    <w:rsid w:val="006F17A1"/>
    <w:rsid w:val="006F4770"/>
    <w:rsid w:val="00705091"/>
    <w:rsid w:val="007169F5"/>
    <w:rsid w:val="007211A0"/>
    <w:rsid w:val="00721934"/>
    <w:rsid w:val="0072396F"/>
    <w:rsid w:val="00723DE9"/>
    <w:rsid w:val="007271AF"/>
    <w:rsid w:val="007273E6"/>
    <w:rsid w:val="007311A9"/>
    <w:rsid w:val="007325DC"/>
    <w:rsid w:val="0073611C"/>
    <w:rsid w:val="00741651"/>
    <w:rsid w:val="00741F25"/>
    <w:rsid w:val="00742389"/>
    <w:rsid w:val="00743F57"/>
    <w:rsid w:val="00744EE0"/>
    <w:rsid w:val="00746079"/>
    <w:rsid w:val="00746DAC"/>
    <w:rsid w:val="00752A20"/>
    <w:rsid w:val="007575D8"/>
    <w:rsid w:val="00762917"/>
    <w:rsid w:val="00764E0C"/>
    <w:rsid w:val="0076600A"/>
    <w:rsid w:val="00766C6A"/>
    <w:rsid w:val="00766EF5"/>
    <w:rsid w:val="00771300"/>
    <w:rsid w:val="00772CF4"/>
    <w:rsid w:val="007737C4"/>
    <w:rsid w:val="00776766"/>
    <w:rsid w:val="00777073"/>
    <w:rsid w:val="0078021E"/>
    <w:rsid w:val="00780F85"/>
    <w:rsid w:val="00783359"/>
    <w:rsid w:val="007A17AE"/>
    <w:rsid w:val="007B104A"/>
    <w:rsid w:val="007B3138"/>
    <w:rsid w:val="007B3740"/>
    <w:rsid w:val="007B72E5"/>
    <w:rsid w:val="007C0E8C"/>
    <w:rsid w:val="007C6FFA"/>
    <w:rsid w:val="007D5B99"/>
    <w:rsid w:val="007E535E"/>
    <w:rsid w:val="007E7E23"/>
    <w:rsid w:val="007F2188"/>
    <w:rsid w:val="007F7982"/>
    <w:rsid w:val="00800008"/>
    <w:rsid w:val="0080065E"/>
    <w:rsid w:val="008016C3"/>
    <w:rsid w:val="008067A3"/>
    <w:rsid w:val="00810848"/>
    <w:rsid w:val="00811D1F"/>
    <w:rsid w:val="00813091"/>
    <w:rsid w:val="00823B75"/>
    <w:rsid w:val="0082443C"/>
    <w:rsid w:val="00830707"/>
    <w:rsid w:val="0083174A"/>
    <w:rsid w:val="008410B7"/>
    <w:rsid w:val="00846FF8"/>
    <w:rsid w:val="00847A42"/>
    <w:rsid w:val="00847CDD"/>
    <w:rsid w:val="008521DD"/>
    <w:rsid w:val="008534A5"/>
    <w:rsid w:val="00854F34"/>
    <w:rsid w:val="00857C89"/>
    <w:rsid w:val="00865449"/>
    <w:rsid w:val="00867141"/>
    <w:rsid w:val="008674AC"/>
    <w:rsid w:val="0087014D"/>
    <w:rsid w:val="0087447C"/>
    <w:rsid w:val="00877BB1"/>
    <w:rsid w:val="008800F3"/>
    <w:rsid w:val="00883F81"/>
    <w:rsid w:val="0089113B"/>
    <w:rsid w:val="00892056"/>
    <w:rsid w:val="00894151"/>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67F0"/>
    <w:rsid w:val="008E3CAA"/>
    <w:rsid w:val="008E451A"/>
    <w:rsid w:val="008E4A9F"/>
    <w:rsid w:val="008E5549"/>
    <w:rsid w:val="008E5BE6"/>
    <w:rsid w:val="008E673A"/>
    <w:rsid w:val="008E7B04"/>
    <w:rsid w:val="008F0C37"/>
    <w:rsid w:val="008F2879"/>
    <w:rsid w:val="008F301C"/>
    <w:rsid w:val="008F3142"/>
    <w:rsid w:val="008F7925"/>
    <w:rsid w:val="00906D77"/>
    <w:rsid w:val="00911CD5"/>
    <w:rsid w:val="00916653"/>
    <w:rsid w:val="0091727E"/>
    <w:rsid w:val="00920445"/>
    <w:rsid w:val="0092054A"/>
    <w:rsid w:val="00921DCB"/>
    <w:rsid w:val="00922BA1"/>
    <w:rsid w:val="00924FD5"/>
    <w:rsid w:val="00925A59"/>
    <w:rsid w:val="00927253"/>
    <w:rsid w:val="009301FC"/>
    <w:rsid w:val="00930E73"/>
    <w:rsid w:val="00936B60"/>
    <w:rsid w:val="0094103E"/>
    <w:rsid w:val="009442B9"/>
    <w:rsid w:val="009456B7"/>
    <w:rsid w:val="00945961"/>
    <w:rsid w:val="009475B4"/>
    <w:rsid w:val="00952DFC"/>
    <w:rsid w:val="009530AA"/>
    <w:rsid w:val="00953821"/>
    <w:rsid w:val="00956989"/>
    <w:rsid w:val="009613DD"/>
    <w:rsid w:val="00964BB2"/>
    <w:rsid w:val="00965A1D"/>
    <w:rsid w:val="00965E82"/>
    <w:rsid w:val="00972DC9"/>
    <w:rsid w:val="00977AA4"/>
    <w:rsid w:val="00981ACB"/>
    <w:rsid w:val="00983066"/>
    <w:rsid w:val="0098375A"/>
    <w:rsid w:val="00993A5C"/>
    <w:rsid w:val="00995AF2"/>
    <w:rsid w:val="00997DED"/>
    <w:rsid w:val="009A078A"/>
    <w:rsid w:val="009A4F5C"/>
    <w:rsid w:val="009A5551"/>
    <w:rsid w:val="009B3E6F"/>
    <w:rsid w:val="009B4985"/>
    <w:rsid w:val="009B702B"/>
    <w:rsid w:val="009C4014"/>
    <w:rsid w:val="009C72C0"/>
    <w:rsid w:val="009D1A1B"/>
    <w:rsid w:val="009D6FA4"/>
    <w:rsid w:val="009D7C3D"/>
    <w:rsid w:val="009E278E"/>
    <w:rsid w:val="009E44FB"/>
    <w:rsid w:val="009F0D88"/>
    <w:rsid w:val="009F1103"/>
    <w:rsid w:val="009F3A48"/>
    <w:rsid w:val="009F5952"/>
    <w:rsid w:val="00A02690"/>
    <w:rsid w:val="00A06FE5"/>
    <w:rsid w:val="00A12F1B"/>
    <w:rsid w:val="00A15691"/>
    <w:rsid w:val="00A163C9"/>
    <w:rsid w:val="00A1763E"/>
    <w:rsid w:val="00A206BF"/>
    <w:rsid w:val="00A2078A"/>
    <w:rsid w:val="00A21769"/>
    <w:rsid w:val="00A22D50"/>
    <w:rsid w:val="00A255CF"/>
    <w:rsid w:val="00A30472"/>
    <w:rsid w:val="00A31F06"/>
    <w:rsid w:val="00A33F35"/>
    <w:rsid w:val="00A34652"/>
    <w:rsid w:val="00A547CF"/>
    <w:rsid w:val="00A5650E"/>
    <w:rsid w:val="00A57CB3"/>
    <w:rsid w:val="00A61CB9"/>
    <w:rsid w:val="00A6540D"/>
    <w:rsid w:val="00A666B6"/>
    <w:rsid w:val="00A7242F"/>
    <w:rsid w:val="00A74C4C"/>
    <w:rsid w:val="00A7597D"/>
    <w:rsid w:val="00A778BC"/>
    <w:rsid w:val="00A82E67"/>
    <w:rsid w:val="00A83249"/>
    <w:rsid w:val="00A838EF"/>
    <w:rsid w:val="00AA24A8"/>
    <w:rsid w:val="00AB0F54"/>
    <w:rsid w:val="00AB43BC"/>
    <w:rsid w:val="00AB491C"/>
    <w:rsid w:val="00AB5F41"/>
    <w:rsid w:val="00AC0555"/>
    <w:rsid w:val="00AC09B5"/>
    <w:rsid w:val="00AC160E"/>
    <w:rsid w:val="00AC22CE"/>
    <w:rsid w:val="00AC5381"/>
    <w:rsid w:val="00AC76C9"/>
    <w:rsid w:val="00AC7D29"/>
    <w:rsid w:val="00AD2B43"/>
    <w:rsid w:val="00AD4155"/>
    <w:rsid w:val="00AD5F92"/>
    <w:rsid w:val="00AD7DD7"/>
    <w:rsid w:val="00AE1D08"/>
    <w:rsid w:val="00AE273A"/>
    <w:rsid w:val="00AE36A5"/>
    <w:rsid w:val="00AE62B7"/>
    <w:rsid w:val="00AF00AB"/>
    <w:rsid w:val="00AF00B6"/>
    <w:rsid w:val="00AF0866"/>
    <w:rsid w:val="00AF4375"/>
    <w:rsid w:val="00AF4B49"/>
    <w:rsid w:val="00AF780A"/>
    <w:rsid w:val="00AF7E0E"/>
    <w:rsid w:val="00B01A5A"/>
    <w:rsid w:val="00B0428E"/>
    <w:rsid w:val="00B04553"/>
    <w:rsid w:val="00B050F4"/>
    <w:rsid w:val="00B0737B"/>
    <w:rsid w:val="00B0768B"/>
    <w:rsid w:val="00B10C3A"/>
    <w:rsid w:val="00B11932"/>
    <w:rsid w:val="00B11D08"/>
    <w:rsid w:val="00B15432"/>
    <w:rsid w:val="00B16058"/>
    <w:rsid w:val="00B1714E"/>
    <w:rsid w:val="00B173C9"/>
    <w:rsid w:val="00B17A15"/>
    <w:rsid w:val="00B21653"/>
    <w:rsid w:val="00B31D45"/>
    <w:rsid w:val="00B3258C"/>
    <w:rsid w:val="00B32F87"/>
    <w:rsid w:val="00B33428"/>
    <w:rsid w:val="00B370BA"/>
    <w:rsid w:val="00B42F4D"/>
    <w:rsid w:val="00B46687"/>
    <w:rsid w:val="00B50959"/>
    <w:rsid w:val="00B542B5"/>
    <w:rsid w:val="00B611CA"/>
    <w:rsid w:val="00B615BD"/>
    <w:rsid w:val="00B666E4"/>
    <w:rsid w:val="00B72CFC"/>
    <w:rsid w:val="00B76721"/>
    <w:rsid w:val="00B81BF1"/>
    <w:rsid w:val="00B826AD"/>
    <w:rsid w:val="00B86FF4"/>
    <w:rsid w:val="00B877CC"/>
    <w:rsid w:val="00B92235"/>
    <w:rsid w:val="00B942D5"/>
    <w:rsid w:val="00B946AA"/>
    <w:rsid w:val="00BA08A1"/>
    <w:rsid w:val="00BA0E44"/>
    <w:rsid w:val="00BA5C49"/>
    <w:rsid w:val="00BB0009"/>
    <w:rsid w:val="00BB1A05"/>
    <w:rsid w:val="00BB5571"/>
    <w:rsid w:val="00BB7263"/>
    <w:rsid w:val="00BC018F"/>
    <w:rsid w:val="00BC7B61"/>
    <w:rsid w:val="00BD1FEF"/>
    <w:rsid w:val="00BD69AF"/>
    <w:rsid w:val="00BD7A78"/>
    <w:rsid w:val="00BE1302"/>
    <w:rsid w:val="00BE512E"/>
    <w:rsid w:val="00BE7DF8"/>
    <w:rsid w:val="00BF2BDC"/>
    <w:rsid w:val="00BF3127"/>
    <w:rsid w:val="00BF5916"/>
    <w:rsid w:val="00BF609C"/>
    <w:rsid w:val="00BF7A69"/>
    <w:rsid w:val="00C04D41"/>
    <w:rsid w:val="00C04D58"/>
    <w:rsid w:val="00C0552D"/>
    <w:rsid w:val="00C2487B"/>
    <w:rsid w:val="00C26CDD"/>
    <w:rsid w:val="00C26E29"/>
    <w:rsid w:val="00C40B63"/>
    <w:rsid w:val="00C40B7C"/>
    <w:rsid w:val="00C50E27"/>
    <w:rsid w:val="00C53416"/>
    <w:rsid w:val="00C538C6"/>
    <w:rsid w:val="00C54B21"/>
    <w:rsid w:val="00C55C33"/>
    <w:rsid w:val="00C562AD"/>
    <w:rsid w:val="00C56CD6"/>
    <w:rsid w:val="00C61466"/>
    <w:rsid w:val="00C65463"/>
    <w:rsid w:val="00C71CAC"/>
    <w:rsid w:val="00C72015"/>
    <w:rsid w:val="00C73B22"/>
    <w:rsid w:val="00C75B5A"/>
    <w:rsid w:val="00C82610"/>
    <w:rsid w:val="00C8446D"/>
    <w:rsid w:val="00C844C8"/>
    <w:rsid w:val="00C84EF7"/>
    <w:rsid w:val="00C869E2"/>
    <w:rsid w:val="00C8723B"/>
    <w:rsid w:val="00C90FE4"/>
    <w:rsid w:val="00C91830"/>
    <w:rsid w:val="00C91BAD"/>
    <w:rsid w:val="00C95D0F"/>
    <w:rsid w:val="00CA01C6"/>
    <w:rsid w:val="00CA2648"/>
    <w:rsid w:val="00CA6012"/>
    <w:rsid w:val="00CB2979"/>
    <w:rsid w:val="00CB3551"/>
    <w:rsid w:val="00CC517D"/>
    <w:rsid w:val="00CC5483"/>
    <w:rsid w:val="00CD0982"/>
    <w:rsid w:val="00CD20CB"/>
    <w:rsid w:val="00CD2975"/>
    <w:rsid w:val="00CD6512"/>
    <w:rsid w:val="00CE5026"/>
    <w:rsid w:val="00CF0D45"/>
    <w:rsid w:val="00CF47ED"/>
    <w:rsid w:val="00CF7411"/>
    <w:rsid w:val="00D05802"/>
    <w:rsid w:val="00D059F6"/>
    <w:rsid w:val="00D067C0"/>
    <w:rsid w:val="00D06B48"/>
    <w:rsid w:val="00D16710"/>
    <w:rsid w:val="00D16E5F"/>
    <w:rsid w:val="00D244CB"/>
    <w:rsid w:val="00D35B28"/>
    <w:rsid w:val="00D36009"/>
    <w:rsid w:val="00D37437"/>
    <w:rsid w:val="00D37D0B"/>
    <w:rsid w:val="00D403D5"/>
    <w:rsid w:val="00D40690"/>
    <w:rsid w:val="00D4270D"/>
    <w:rsid w:val="00D43792"/>
    <w:rsid w:val="00D50DEA"/>
    <w:rsid w:val="00D51BE9"/>
    <w:rsid w:val="00D51E45"/>
    <w:rsid w:val="00D53967"/>
    <w:rsid w:val="00D540A7"/>
    <w:rsid w:val="00D55C4F"/>
    <w:rsid w:val="00D56D4C"/>
    <w:rsid w:val="00D6119F"/>
    <w:rsid w:val="00D62DC7"/>
    <w:rsid w:val="00D63D7D"/>
    <w:rsid w:val="00D673EF"/>
    <w:rsid w:val="00D70413"/>
    <w:rsid w:val="00D71EFE"/>
    <w:rsid w:val="00D748C2"/>
    <w:rsid w:val="00D7530D"/>
    <w:rsid w:val="00D80A72"/>
    <w:rsid w:val="00D86082"/>
    <w:rsid w:val="00D87076"/>
    <w:rsid w:val="00D87573"/>
    <w:rsid w:val="00D90788"/>
    <w:rsid w:val="00D9522E"/>
    <w:rsid w:val="00D96E4C"/>
    <w:rsid w:val="00DA3947"/>
    <w:rsid w:val="00DA4E5D"/>
    <w:rsid w:val="00DA5D36"/>
    <w:rsid w:val="00DA68A1"/>
    <w:rsid w:val="00DC21F9"/>
    <w:rsid w:val="00DC6B61"/>
    <w:rsid w:val="00DC75B6"/>
    <w:rsid w:val="00DC7ED7"/>
    <w:rsid w:val="00DD3C82"/>
    <w:rsid w:val="00DD3D7E"/>
    <w:rsid w:val="00DD788B"/>
    <w:rsid w:val="00DE0133"/>
    <w:rsid w:val="00DE4687"/>
    <w:rsid w:val="00DE572B"/>
    <w:rsid w:val="00DF1F47"/>
    <w:rsid w:val="00DF569C"/>
    <w:rsid w:val="00DF73DB"/>
    <w:rsid w:val="00DF7667"/>
    <w:rsid w:val="00E0297C"/>
    <w:rsid w:val="00E0759D"/>
    <w:rsid w:val="00E0779B"/>
    <w:rsid w:val="00E14F08"/>
    <w:rsid w:val="00E15ECB"/>
    <w:rsid w:val="00E1780F"/>
    <w:rsid w:val="00E20992"/>
    <w:rsid w:val="00E228D7"/>
    <w:rsid w:val="00E23C56"/>
    <w:rsid w:val="00E3160D"/>
    <w:rsid w:val="00E40A6E"/>
    <w:rsid w:val="00E40CED"/>
    <w:rsid w:val="00E41881"/>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6457"/>
    <w:rsid w:val="00E818E2"/>
    <w:rsid w:val="00E86193"/>
    <w:rsid w:val="00E9293C"/>
    <w:rsid w:val="00E964BC"/>
    <w:rsid w:val="00EA16E3"/>
    <w:rsid w:val="00EA33C1"/>
    <w:rsid w:val="00EA39E1"/>
    <w:rsid w:val="00EB0621"/>
    <w:rsid w:val="00EB6940"/>
    <w:rsid w:val="00EC0587"/>
    <w:rsid w:val="00EC0798"/>
    <w:rsid w:val="00EC1198"/>
    <w:rsid w:val="00EC1520"/>
    <w:rsid w:val="00ED23A0"/>
    <w:rsid w:val="00ED23E9"/>
    <w:rsid w:val="00ED5994"/>
    <w:rsid w:val="00ED7DE7"/>
    <w:rsid w:val="00EE412A"/>
    <w:rsid w:val="00EE6A77"/>
    <w:rsid w:val="00EE7E62"/>
    <w:rsid w:val="00EF68C5"/>
    <w:rsid w:val="00F02293"/>
    <w:rsid w:val="00F07361"/>
    <w:rsid w:val="00F07DC1"/>
    <w:rsid w:val="00F12615"/>
    <w:rsid w:val="00F17B92"/>
    <w:rsid w:val="00F21E78"/>
    <w:rsid w:val="00F22AFA"/>
    <w:rsid w:val="00F27AC8"/>
    <w:rsid w:val="00F34E4E"/>
    <w:rsid w:val="00F45E9D"/>
    <w:rsid w:val="00F47C76"/>
    <w:rsid w:val="00F50C59"/>
    <w:rsid w:val="00F54992"/>
    <w:rsid w:val="00F5549C"/>
    <w:rsid w:val="00F61CA5"/>
    <w:rsid w:val="00F64AB8"/>
    <w:rsid w:val="00F64C56"/>
    <w:rsid w:val="00F66720"/>
    <w:rsid w:val="00F67F3D"/>
    <w:rsid w:val="00F75296"/>
    <w:rsid w:val="00F761A9"/>
    <w:rsid w:val="00F77170"/>
    <w:rsid w:val="00F77BCB"/>
    <w:rsid w:val="00F81B16"/>
    <w:rsid w:val="00F84274"/>
    <w:rsid w:val="00F901F7"/>
    <w:rsid w:val="00F93FD1"/>
    <w:rsid w:val="00FA6D88"/>
    <w:rsid w:val="00FA7639"/>
    <w:rsid w:val="00FB3C12"/>
    <w:rsid w:val="00FB7004"/>
    <w:rsid w:val="00FB7E88"/>
    <w:rsid w:val="00FC3F44"/>
    <w:rsid w:val="00FD2A15"/>
    <w:rsid w:val="00FD4016"/>
    <w:rsid w:val="00FD4C4A"/>
    <w:rsid w:val="00FD5D67"/>
    <w:rsid w:val="00FD67B7"/>
    <w:rsid w:val="00FD7D8C"/>
    <w:rsid w:val="00FF07B6"/>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123EC-0869-49B5-8141-245DE875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BodyTextIndent">
    <w:name w:val="Body Text Indent"/>
    <w:basedOn w:val="Normal"/>
    <w:link w:val="BodyTextIndentChar"/>
    <w:rsid w:val="00196303"/>
    <w:pPr>
      <w:spacing w:after="0" w:line="240" w:lineRule="auto"/>
      <w:ind w:left="720" w:hanging="7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196303"/>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15DA-7A0B-4168-825C-3D79C27E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Smith (Mr)</cp:lastModifiedBy>
  <cp:revision>2</cp:revision>
  <dcterms:created xsi:type="dcterms:W3CDTF">2019-05-16T08:21:00Z</dcterms:created>
  <dcterms:modified xsi:type="dcterms:W3CDTF">2019-05-16T08:21:00Z</dcterms:modified>
</cp:coreProperties>
</file>