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D290" w14:textId="424228B1" w:rsidR="007A223D" w:rsidRPr="001C31B2" w:rsidRDefault="00204EF2" w:rsidP="00C8471A">
      <w:pPr>
        <w:pStyle w:val="NoSpacing"/>
        <w:rPr>
          <w:b/>
          <w:bCs/>
        </w:rPr>
      </w:pPr>
      <w:r w:rsidRPr="001C31B2">
        <w:rPr>
          <w:b/>
          <w:bCs/>
          <w:u w:val="single"/>
        </w:rPr>
        <w:t>SEN</w:t>
      </w:r>
      <w:r w:rsidR="002C0BED" w:rsidRPr="001C31B2">
        <w:rPr>
          <w:b/>
          <w:bCs/>
          <w:u w:val="single"/>
        </w:rPr>
        <w:t>D</w:t>
      </w:r>
      <w:r w:rsidRPr="001C31B2">
        <w:rPr>
          <w:b/>
          <w:bCs/>
          <w:u w:val="single"/>
        </w:rPr>
        <w:t xml:space="preserve"> Information Report  - The Blandford Sch</w:t>
      </w:r>
      <w:r w:rsidR="00784C11" w:rsidRPr="001C31B2">
        <w:rPr>
          <w:b/>
          <w:bCs/>
          <w:u w:val="single"/>
        </w:rPr>
        <w:t>ool SEN</w:t>
      </w:r>
      <w:r w:rsidR="002C0BED" w:rsidRPr="001C31B2">
        <w:rPr>
          <w:b/>
          <w:bCs/>
          <w:u w:val="single"/>
        </w:rPr>
        <w:t>D</w:t>
      </w:r>
      <w:r w:rsidR="00784C11" w:rsidRPr="001C31B2">
        <w:rPr>
          <w:b/>
          <w:bCs/>
          <w:u w:val="single"/>
        </w:rPr>
        <w:t xml:space="preserve"> Information Report 20</w:t>
      </w:r>
      <w:r w:rsidR="00187559" w:rsidRPr="001C31B2">
        <w:rPr>
          <w:b/>
          <w:bCs/>
          <w:u w:val="single"/>
        </w:rPr>
        <w:t>1</w:t>
      </w:r>
      <w:r w:rsidR="00C8471A" w:rsidRPr="001C31B2">
        <w:rPr>
          <w:b/>
          <w:bCs/>
          <w:u w:val="single"/>
        </w:rPr>
        <w:t>8/19</w:t>
      </w:r>
      <w:r w:rsidRPr="001C31B2">
        <w:rPr>
          <w:b/>
          <w:bCs/>
          <w:u w:val="single"/>
        </w:rPr>
        <w:br/>
      </w:r>
      <w:r w:rsidRPr="00C8471A">
        <w:br/>
      </w:r>
      <w:r w:rsidR="007A223D" w:rsidRPr="001C31B2">
        <w:rPr>
          <w:b/>
          <w:bCs/>
        </w:rPr>
        <w:t>Staff:</w:t>
      </w:r>
    </w:p>
    <w:p w14:paraId="7F1FE464" w14:textId="77777777" w:rsidR="00C8471A" w:rsidRPr="00C8471A" w:rsidRDefault="00C8471A" w:rsidP="00C8471A">
      <w:pPr>
        <w:pStyle w:val="NoSpacing"/>
      </w:pPr>
    </w:p>
    <w:p w14:paraId="128AB109" w14:textId="77777777" w:rsidR="0005300A" w:rsidRPr="00C8471A" w:rsidRDefault="00204EF2" w:rsidP="00C8471A">
      <w:pPr>
        <w:pStyle w:val="NoSpacing"/>
      </w:pPr>
      <w:r w:rsidRPr="00C8471A">
        <w:t>Assistant Head for</w:t>
      </w:r>
      <w:r w:rsidR="002C0BED" w:rsidRPr="00C8471A">
        <w:t xml:space="preserve"> Progress, </w:t>
      </w:r>
      <w:r w:rsidRPr="00C8471A">
        <w:t xml:space="preserve"> Guidance and Welfare - Penny White</w:t>
      </w:r>
      <w:r w:rsidRPr="00C8471A">
        <w:br/>
        <w:t>SEN</w:t>
      </w:r>
      <w:r w:rsidR="00FF3D6D" w:rsidRPr="00C8471A">
        <w:t>D</w:t>
      </w:r>
      <w:r w:rsidRPr="00C8471A">
        <w:t>Co - Kirsty Cowley</w:t>
      </w:r>
      <w:r w:rsidRPr="00C8471A">
        <w:br/>
        <w:t>Assistant to the SEN</w:t>
      </w:r>
      <w:r w:rsidR="00FF3D6D" w:rsidRPr="00C8471A">
        <w:t>D</w:t>
      </w:r>
      <w:r w:rsidRPr="00C8471A">
        <w:t>Co - Jo Powell</w:t>
      </w:r>
      <w:r w:rsidRPr="00C8471A">
        <w:br/>
        <w:t>Academi</w:t>
      </w:r>
      <w:r w:rsidR="00FF3D6D" w:rsidRPr="00C8471A">
        <w:t>c Learning Mentor – Claire White</w:t>
      </w:r>
    </w:p>
    <w:p w14:paraId="6DB66E20" w14:textId="77777777" w:rsidR="0005300A" w:rsidRPr="00C8471A" w:rsidRDefault="00204EF2" w:rsidP="00C8471A">
      <w:pPr>
        <w:pStyle w:val="NoSpacing"/>
      </w:pPr>
      <w:r w:rsidRPr="00C8471A">
        <w:t>Supervisory Teaching Assistan</w:t>
      </w:r>
      <w:r w:rsidR="002C0BED" w:rsidRPr="00C8471A">
        <w:t>t</w:t>
      </w:r>
      <w:r w:rsidRPr="00C8471A">
        <w:t xml:space="preserve"> (TA) – </w:t>
      </w:r>
      <w:r w:rsidRPr="00C8471A">
        <w:rPr>
          <w:lang w:val="es-ES_tradnl"/>
        </w:rPr>
        <w:t>Sue Keogh</w:t>
      </w:r>
    </w:p>
    <w:p w14:paraId="0AABA2E3" w14:textId="77777777" w:rsidR="007A223D" w:rsidRPr="00C8471A" w:rsidRDefault="00204EF2" w:rsidP="00C8471A">
      <w:pPr>
        <w:pStyle w:val="NoSpacing"/>
      </w:pPr>
      <w:r w:rsidRPr="00C8471A">
        <w:t>5 Year TAs</w:t>
      </w:r>
    </w:p>
    <w:p w14:paraId="7594893F" w14:textId="77777777" w:rsidR="0005300A" w:rsidRPr="00C8471A" w:rsidRDefault="007A223D" w:rsidP="00C8471A">
      <w:pPr>
        <w:pStyle w:val="NoSpacing"/>
      </w:pPr>
      <w:r w:rsidRPr="00C8471A">
        <w:t>4 G</w:t>
      </w:r>
      <w:r w:rsidR="00CE17DE" w:rsidRPr="00C8471A">
        <w:t xml:space="preserve">eneral </w:t>
      </w:r>
      <w:r w:rsidR="00204EF2" w:rsidRPr="00C8471A">
        <w:t>TA</w:t>
      </w:r>
      <w:r w:rsidR="00CE17DE" w:rsidRPr="00C8471A">
        <w:t>s</w:t>
      </w:r>
    </w:p>
    <w:p w14:paraId="5E622B39" w14:textId="77777777" w:rsidR="0005300A" w:rsidRPr="00C8471A" w:rsidRDefault="007A223D" w:rsidP="00C8471A">
      <w:pPr>
        <w:pStyle w:val="NoSpacing"/>
      </w:pPr>
      <w:r w:rsidRPr="00C8471A">
        <w:t>6</w:t>
      </w:r>
      <w:r w:rsidR="00204EF2" w:rsidRPr="00C8471A">
        <w:t xml:space="preserve"> Faculty TAs</w:t>
      </w:r>
    </w:p>
    <w:p w14:paraId="772114ED" w14:textId="77777777" w:rsidR="0005300A" w:rsidRPr="00C8471A" w:rsidRDefault="007A223D" w:rsidP="00C8471A">
      <w:pPr>
        <w:pStyle w:val="NoSpacing"/>
      </w:pPr>
      <w:r w:rsidRPr="00C8471A">
        <w:rPr>
          <w:lang w:val="it-IT"/>
        </w:rPr>
        <w:t>Academic Study Room – Beth Waghorn</w:t>
      </w:r>
    </w:p>
    <w:p w14:paraId="4B2CC587" w14:textId="77777777" w:rsidR="0005300A" w:rsidRPr="00C8471A" w:rsidRDefault="00204EF2" w:rsidP="00C8471A">
      <w:pPr>
        <w:pStyle w:val="NoSpacing"/>
      </w:pPr>
      <w:r w:rsidRPr="00C8471A">
        <w:t>First Aid Lead – Susan Burton</w:t>
      </w:r>
    </w:p>
    <w:p w14:paraId="0FA2A895" w14:textId="4D17238D" w:rsidR="0005300A" w:rsidRDefault="007A223D" w:rsidP="00C8471A">
      <w:pPr>
        <w:pStyle w:val="NoSpacing"/>
      </w:pPr>
      <w:r w:rsidRPr="00C8471A">
        <w:t>Student Support Worker</w:t>
      </w:r>
      <w:r w:rsidR="00204EF2" w:rsidRPr="00C8471A">
        <w:t xml:space="preserve"> –Kirsty Radford</w:t>
      </w:r>
    </w:p>
    <w:p w14:paraId="0BBBB3DD" w14:textId="77777777" w:rsidR="00C8471A" w:rsidRPr="00C8471A" w:rsidRDefault="00C8471A" w:rsidP="00C8471A">
      <w:pPr>
        <w:pStyle w:val="NoSpacing"/>
      </w:pPr>
    </w:p>
    <w:p w14:paraId="6E2A1C1D" w14:textId="77777777" w:rsidR="007A223D" w:rsidRPr="001C31B2" w:rsidRDefault="007A223D" w:rsidP="00C8471A">
      <w:pPr>
        <w:pStyle w:val="NoSpacing"/>
        <w:rPr>
          <w:b/>
          <w:bCs/>
        </w:rPr>
      </w:pPr>
      <w:r w:rsidRPr="001C31B2">
        <w:rPr>
          <w:b/>
          <w:bCs/>
        </w:rPr>
        <w:t>Information on the School</w:t>
      </w:r>
    </w:p>
    <w:p w14:paraId="35716803" w14:textId="22494E9E" w:rsidR="00166FAF" w:rsidRPr="00C8471A" w:rsidRDefault="00204EF2" w:rsidP="00C8471A">
      <w:pPr>
        <w:pStyle w:val="NoSpacing"/>
      </w:pPr>
      <w:r w:rsidRPr="00C8471A">
        <w:t xml:space="preserve">The Blandford School (TBS) is a mainstream comprehensive secondary school. </w:t>
      </w:r>
      <w:r w:rsidR="007A223D" w:rsidRPr="00C8471A">
        <w:t xml:space="preserve">We have 8 feeder primaries in our local catchment area in a rural location. </w:t>
      </w:r>
      <w:r w:rsidR="00166FAF" w:rsidRPr="00C8471A">
        <w:t>We have good links with the feeder primaries. The SENDCo has a meet</w:t>
      </w:r>
      <w:r w:rsidR="00C8471A">
        <w:t>ing</w:t>
      </w:r>
      <w:r w:rsidR="00166FAF" w:rsidRPr="00C8471A">
        <w:t xml:space="preserve"> with all the Primary SENDCOs each term and then additional meetings prior to year 6 transitioning to The Blandford School. Where appropriate the SENDCo will attend meeting</w:t>
      </w:r>
      <w:r w:rsidR="00C8471A">
        <w:t>s</w:t>
      </w:r>
      <w:r w:rsidR="00166FAF" w:rsidRPr="00C8471A">
        <w:t xml:space="preserve"> held at the Primary Schools to support the Primaries and parents/carers plan the future transition to the Secondary school and answer any questions that they have. Good links have been made with the Primary Schools to ensure that the young people and their families feel supported. We know how important a successful transition to the Secondary provision is and work hard </w:t>
      </w:r>
      <w:r w:rsidR="008F6AF8" w:rsidRPr="00C8471A">
        <w:t>with all involved to make it as positive and exciting as possible.</w:t>
      </w:r>
      <w:r w:rsidR="00166FAF" w:rsidRPr="00C8471A">
        <w:t xml:space="preserve"> </w:t>
      </w:r>
    </w:p>
    <w:p w14:paraId="2C9C089D" w14:textId="0677249B" w:rsidR="00166FAF" w:rsidRPr="00C8471A" w:rsidRDefault="00166FAF" w:rsidP="00C8471A">
      <w:pPr>
        <w:pStyle w:val="NoSpacing"/>
      </w:pPr>
    </w:p>
    <w:p w14:paraId="23C3F8B8" w14:textId="6F5F8ED3" w:rsidR="004021A1" w:rsidRPr="00C8471A" w:rsidRDefault="004021A1" w:rsidP="00C8471A">
      <w:pPr>
        <w:pStyle w:val="NoSpacing"/>
      </w:pPr>
      <w:r w:rsidRPr="00C8471A">
        <w:t>In addition to the link we have made for those joining us we have also made good links with post 16 provisions. We link with the colleges</w:t>
      </w:r>
      <w:r w:rsidR="001C31B2">
        <w:t>, other educational provisions</w:t>
      </w:r>
      <w:r w:rsidRPr="00C8471A">
        <w:t xml:space="preserve"> and work with </w:t>
      </w:r>
      <w:proofErr w:type="spellStart"/>
      <w:r w:rsidRPr="00C8471A">
        <w:t>Ansbury</w:t>
      </w:r>
      <w:proofErr w:type="spellEnd"/>
      <w:r w:rsidRPr="00C8471A">
        <w:t xml:space="preserve"> Careers Service to ensure students have placements once they conclude their GCSE studies, should they not decide to remain in our Sixth Form.</w:t>
      </w:r>
    </w:p>
    <w:p w14:paraId="67FA30D7" w14:textId="77777777" w:rsidR="004021A1" w:rsidRPr="00C8471A" w:rsidRDefault="004021A1" w:rsidP="00C8471A">
      <w:pPr>
        <w:pStyle w:val="NoSpacing"/>
      </w:pPr>
    </w:p>
    <w:p w14:paraId="60858962" w14:textId="66B446F8" w:rsidR="007A223D" w:rsidRPr="00C8471A" w:rsidRDefault="007A223D" w:rsidP="00C8471A">
      <w:pPr>
        <w:pStyle w:val="NoSpacing"/>
        <w:rPr>
          <w:color w:val="000000"/>
        </w:rPr>
      </w:pPr>
      <w:r w:rsidRPr="00C8471A">
        <w:t xml:space="preserve">Our </w:t>
      </w:r>
      <w:r w:rsidRPr="00C8471A">
        <w:rPr>
          <w:color w:val="000000"/>
          <w:u w:color="000000"/>
          <w:lang w:eastAsia="en-GB"/>
        </w:rPr>
        <w:t xml:space="preserve">SEND faculty (staff information above) is staffed by motivated and passionate team members. </w:t>
      </w:r>
      <w:r w:rsidR="008F6AF8" w:rsidRPr="00C8471A">
        <w:rPr>
          <w:color w:val="000000"/>
          <w:u w:color="000000"/>
          <w:lang w:eastAsia="en-GB"/>
        </w:rPr>
        <w:t>The Learning Support area is multifunctional and includes Learning Support classes, Lunch Lounge (safe haven), Mentoring (academic and pastoral) and homework clubs. We know how important it can be for young people to have a safe place with key adults around and the Learning Support area aims to do this.</w:t>
      </w:r>
    </w:p>
    <w:p w14:paraId="7DF45063" w14:textId="77777777" w:rsidR="007A223D" w:rsidRPr="00C8471A" w:rsidRDefault="007A223D" w:rsidP="00C8471A">
      <w:pPr>
        <w:pStyle w:val="NoSpacing"/>
      </w:pPr>
    </w:p>
    <w:p w14:paraId="20BCD35D" w14:textId="553AD556" w:rsidR="0005300A" w:rsidRPr="00C8471A" w:rsidRDefault="00204EF2" w:rsidP="00C8471A">
      <w:pPr>
        <w:pStyle w:val="NoSpacing"/>
      </w:pPr>
      <w:r w:rsidRPr="00C8471A">
        <w:t>The TBS Inclusion Policy can be found on the school website</w:t>
      </w:r>
      <w:r w:rsidR="00C8471A">
        <w:t xml:space="preserve"> along with all other relevant policies and helpful links.</w:t>
      </w:r>
    </w:p>
    <w:p w14:paraId="04DF7EEB" w14:textId="77777777" w:rsidR="001C31B2" w:rsidRDefault="001C31B2" w:rsidP="00C8471A">
      <w:pPr>
        <w:pStyle w:val="NoSpacing"/>
      </w:pPr>
    </w:p>
    <w:p w14:paraId="3571A094" w14:textId="3FF714A3" w:rsidR="00F64E60" w:rsidRPr="001C31B2" w:rsidRDefault="00F64E60" w:rsidP="00C8471A">
      <w:pPr>
        <w:pStyle w:val="NoSpacing"/>
        <w:rPr>
          <w:b/>
          <w:bCs/>
        </w:rPr>
      </w:pPr>
      <w:r w:rsidRPr="001C31B2">
        <w:rPr>
          <w:b/>
          <w:bCs/>
        </w:rPr>
        <w:t>Categories of need:</w:t>
      </w:r>
    </w:p>
    <w:p w14:paraId="5D748C93" w14:textId="414C6F83" w:rsidR="00F64E60" w:rsidRPr="00C8471A" w:rsidRDefault="00F64E60" w:rsidP="00C8471A">
      <w:pPr>
        <w:pStyle w:val="NoSpacing"/>
      </w:pPr>
      <w:r w:rsidRPr="00C8471A">
        <w:t xml:space="preserve">C&amp;L – Cognition and </w:t>
      </w:r>
      <w:r w:rsidR="004070E6" w:rsidRPr="00C8471A">
        <w:t>L</w:t>
      </w:r>
      <w:r w:rsidRPr="00C8471A">
        <w:t>earning</w:t>
      </w:r>
    </w:p>
    <w:p w14:paraId="7D04C1ED" w14:textId="11CF905B" w:rsidR="00F64E60" w:rsidRPr="00C8471A" w:rsidRDefault="00F64E60" w:rsidP="00C8471A">
      <w:pPr>
        <w:pStyle w:val="NoSpacing"/>
      </w:pPr>
      <w:r w:rsidRPr="00C8471A">
        <w:t>HI/VI – Hearing Impaired/Vision Impaired</w:t>
      </w:r>
    </w:p>
    <w:p w14:paraId="62E1A569" w14:textId="297B271A" w:rsidR="00F64E60" w:rsidRPr="00C8471A" w:rsidRDefault="00F64E60" w:rsidP="00C8471A">
      <w:pPr>
        <w:pStyle w:val="NoSpacing"/>
      </w:pPr>
      <w:r w:rsidRPr="00C8471A">
        <w:t>SEMH – Social Emotional Mental Health</w:t>
      </w:r>
    </w:p>
    <w:p w14:paraId="7497E21D" w14:textId="5520C193" w:rsidR="00F64E60" w:rsidRPr="00C8471A" w:rsidRDefault="00F64E60" w:rsidP="00C8471A">
      <w:pPr>
        <w:pStyle w:val="NoSpacing"/>
      </w:pPr>
      <w:r w:rsidRPr="00C8471A">
        <w:t>Sp and L/ASC- Speech and Language/ Autistic Spectrum Condition</w:t>
      </w:r>
    </w:p>
    <w:p w14:paraId="554F6E11" w14:textId="0D14BEB6" w:rsidR="004021A1" w:rsidRDefault="00F64E60" w:rsidP="00C8471A">
      <w:pPr>
        <w:pStyle w:val="NoSpacing"/>
      </w:pPr>
      <w:r w:rsidRPr="00C8471A">
        <w:t>PD – Physical Disability</w:t>
      </w:r>
    </w:p>
    <w:p w14:paraId="6FE50E93" w14:textId="77777777" w:rsidR="001C31B2" w:rsidRPr="00C8471A" w:rsidRDefault="001C31B2" w:rsidP="00C8471A">
      <w:pPr>
        <w:pStyle w:val="NoSpacing"/>
      </w:pPr>
    </w:p>
    <w:p w14:paraId="254C15B9" w14:textId="17D81DA2" w:rsidR="004070E6" w:rsidRPr="00C8471A" w:rsidRDefault="004021A1" w:rsidP="00C8471A">
      <w:pPr>
        <w:pStyle w:val="NoSpacing"/>
      </w:pPr>
      <w:r w:rsidRPr="00C8471A">
        <w:rPr>
          <w:rFonts w:eastAsia="Times New Roman"/>
          <w:noProof/>
          <w:color w:val="FF0000"/>
          <w:bdr w:val="none" w:sz="0" w:space="0" w:color="auto"/>
          <w:lang w:val="en-GB"/>
        </w:rPr>
        <mc:AlternateContent>
          <mc:Choice Requires="wps">
            <w:drawing>
              <wp:anchor distT="45720" distB="45720" distL="114300" distR="114300" simplePos="0" relativeHeight="251659264" behindDoc="0" locked="0" layoutInCell="1" allowOverlap="1" wp14:anchorId="46B96550" wp14:editId="32C1FCF1">
                <wp:simplePos x="0" y="0"/>
                <wp:positionH relativeFrom="margin">
                  <wp:posOffset>-161925</wp:posOffset>
                </wp:positionH>
                <wp:positionV relativeFrom="paragraph">
                  <wp:posOffset>342900</wp:posOffset>
                </wp:positionV>
                <wp:extent cx="9658350" cy="2905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0" cy="2905125"/>
                        </a:xfrm>
                        <a:prstGeom prst="rect">
                          <a:avLst/>
                        </a:prstGeom>
                        <a:solidFill>
                          <a:srgbClr val="FFFFFF"/>
                        </a:solidFill>
                        <a:ln w="9525">
                          <a:solidFill>
                            <a:srgbClr val="000000"/>
                          </a:solidFill>
                          <a:miter lim="800000"/>
                          <a:headEnd/>
                          <a:tailEnd/>
                        </a:ln>
                      </wps:spPr>
                      <wps:txbx>
                        <w:txbxContent>
                          <w:p w14:paraId="261A3B7D" w14:textId="7713ACB9" w:rsidR="00166FAF" w:rsidRDefault="00166FAF" w:rsidP="00F64E60">
                            <w:pPr>
                              <w:spacing w:line="259" w:lineRule="auto"/>
                              <w:rPr>
                                <w:rFonts w:ascii="Arial" w:hAnsi="Arial" w:cs="Arial"/>
                              </w:rPr>
                            </w:pPr>
                            <w:bookmarkStart w:id="0" w:name="_Hlk7198445"/>
                            <w:r>
                              <w:rPr>
                                <w:rFonts w:ascii="Arial" w:hAnsi="Arial" w:cs="Arial"/>
                              </w:rPr>
                              <w:t>14</w:t>
                            </w:r>
                            <w:r w:rsidRPr="00646E83">
                              <w:rPr>
                                <w:rFonts w:ascii="Arial" w:hAnsi="Arial" w:cs="Arial"/>
                              </w:rPr>
                              <w:t>% of pupils</w:t>
                            </w:r>
                            <w:r>
                              <w:rPr>
                                <w:rFonts w:ascii="Arial" w:hAnsi="Arial" w:cs="Arial"/>
                              </w:rPr>
                              <w:t xml:space="preserve"> are identified as having SEND, which is in line with</w:t>
                            </w:r>
                            <w:r w:rsidRPr="00646E83">
                              <w:rPr>
                                <w:rFonts w:ascii="Arial" w:hAnsi="Arial" w:cs="Arial"/>
                              </w:rPr>
                              <w:t xml:space="preserve"> </w:t>
                            </w:r>
                            <w:r>
                              <w:rPr>
                                <w:rFonts w:ascii="Arial" w:hAnsi="Arial" w:cs="Arial"/>
                              </w:rPr>
                              <w:t xml:space="preserve">the national average of 14.6% (DFE, July 2018).  138 pupils out </w:t>
                            </w:r>
                            <w:r w:rsidR="001C31B2">
                              <w:rPr>
                                <w:rFonts w:ascii="Arial" w:hAnsi="Arial" w:cs="Arial"/>
                              </w:rPr>
                              <w:t xml:space="preserve">of </w:t>
                            </w:r>
                            <w:r>
                              <w:rPr>
                                <w:rFonts w:ascii="Arial" w:hAnsi="Arial" w:cs="Arial"/>
                              </w:rPr>
                              <w:t xml:space="preserve">998 </w:t>
                            </w:r>
                            <w:r w:rsidRPr="00646E83">
                              <w:rPr>
                                <w:rFonts w:ascii="Arial" w:hAnsi="Arial" w:cs="Arial"/>
                              </w:rPr>
                              <w:t>pupils</w:t>
                            </w:r>
                            <w:r>
                              <w:rPr>
                                <w:rFonts w:ascii="Arial" w:hAnsi="Arial" w:cs="Arial"/>
                              </w:rPr>
                              <w:t xml:space="preserve"> are identified as having SEND. </w:t>
                            </w:r>
                            <w:r w:rsidRPr="00497378">
                              <w:rPr>
                                <w:rFonts w:ascii="Arial" w:hAnsi="Arial" w:cs="Arial"/>
                              </w:rPr>
                              <w:t>24</w:t>
                            </w:r>
                            <w:r w:rsidRPr="00646E83">
                              <w:rPr>
                                <w:rFonts w:ascii="Arial" w:hAnsi="Arial" w:cs="Arial"/>
                              </w:rPr>
                              <w:t xml:space="preserve"> pupils have an EHCP</w:t>
                            </w:r>
                            <w:r>
                              <w:rPr>
                                <w:rFonts w:ascii="Arial" w:hAnsi="Arial" w:cs="Arial"/>
                              </w:rPr>
                              <w:t xml:space="preserve">, which is 2.4% and broadly in line with the national average of 2.9%. Four </w:t>
                            </w:r>
                            <w:r w:rsidRPr="00497378">
                              <w:rPr>
                                <w:rFonts w:ascii="Arial" w:hAnsi="Arial" w:cs="Arial"/>
                              </w:rPr>
                              <w:t>reques</w:t>
                            </w:r>
                            <w:r>
                              <w:rPr>
                                <w:rFonts w:ascii="Arial" w:hAnsi="Arial" w:cs="Arial"/>
                              </w:rPr>
                              <w:t>ts for statutory assessments</w:t>
                            </w:r>
                            <w:r w:rsidR="001C31B2">
                              <w:rPr>
                                <w:rFonts w:ascii="Arial" w:hAnsi="Arial" w:cs="Arial"/>
                              </w:rPr>
                              <w:t xml:space="preserve"> were</w:t>
                            </w:r>
                            <w:r>
                              <w:rPr>
                                <w:rFonts w:ascii="Arial" w:hAnsi="Arial" w:cs="Arial"/>
                              </w:rPr>
                              <w:t xml:space="preserve"> made during the year</w:t>
                            </w:r>
                            <w:r w:rsidRPr="00497378">
                              <w:rPr>
                                <w:rFonts w:ascii="Arial" w:hAnsi="Arial" w:cs="Arial"/>
                              </w:rPr>
                              <w:t>.</w:t>
                            </w:r>
                            <w:r>
                              <w:rPr>
                                <w:rFonts w:ascii="Arial" w:hAnsi="Arial" w:cs="Arial"/>
                              </w:rPr>
                              <w:t xml:space="preserve"> 27% of pupils are pupil premium. There are </w:t>
                            </w:r>
                            <w:r w:rsidRPr="00497378">
                              <w:rPr>
                                <w:rFonts w:ascii="Arial" w:hAnsi="Arial" w:cs="Arial"/>
                              </w:rPr>
                              <w:t>50</w:t>
                            </w:r>
                            <w:r>
                              <w:rPr>
                                <w:rFonts w:ascii="Arial" w:hAnsi="Arial" w:cs="Arial"/>
                              </w:rPr>
                              <w:t xml:space="preserve"> pupils identified as SEND and pupil premium. </w:t>
                            </w:r>
                          </w:p>
                          <w:p w14:paraId="3B938FF3" w14:textId="77777777" w:rsidR="00166FAF" w:rsidRPr="00646E83" w:rsidRDefault="00166FAF" w:rsidP="00F64E60">
                            <w:pPr>
                              <w:spacing w:line="259" w:lineRule="auto"/>
                              <w:rPr>
                                <w:rFonts w:ascii="Arial" w:hAnsi="Arial" w:cs="Arial"/>
                              </w:rPr>
                            </w:pPr>
                          </w:p>
                          <w:tbl>
                            <w:tblPr>
                              <w:tblW w:w="12420" w:type="dxa"/>
                              <w:tblInd w:w="108" w:type="dxa"/>
                              <w:shd w:val="clear" w:color="auto" w:fill="FFFFFF" w:themeFill="background1"/>
                              <w:tblLook w:val="04A0" w:firstRow="1" w:lastRow="0" w:firstColumn="1" w:lastColumn="0" w:noHBand="0" w:noVBand="1"/>
                            </w:tblPr>
                            <w:tblGrid>
                              <w:gridCol w:w="1380"/>
                              <w:gridCol w:w="1380"/>
                              <w:gridCol w:w="1380"/>
                              <w:gridCol w:w="1380"/>
                              <w:gridCol w:w="1380"/>
                              <w:gridCol w:w="1380"/>
                              <w:gridCol w:w="1380"/>
                              <w:gridCol w:w="1380"/>
                              <w:gridCol w:w="1380"/>
                            </w:tblGrid>
                            <w:tr w:rsidR="00166FAF" w:rsidRPr="00F64E60" w14:paraId="40F7B033" w14:textId="77777777" w:rsidTr="00F64E60">
                              <w:trPr>
                                <w:trHeight w:val="315"/>
                              </w:trPr>
                              <w:tc>
                                <w:tcPr>
                                  <w:tcW w:w="1380" w:type="dxa"/>
                                  <w:tcBorders>
                                    <w:top w:val="single" w:sz="8" w:space="0" w:color="auto"/>
                                    <w:left w:val="single" w:sz="8" w:space="0" w:color="auto"/>
                                    <w:bottom w:val="single" w:sz="8" w:space="0" w:color="auto"/>
                                    <w:right w:val="single" w:sz="8" w:space="0" w:color="auto"/>
                                  </w:tcBorders>
                                  <w:shd w:val="clear" w:color="auto" w:fill="4F81BD" w:themeFill="accent1"/>
                                  <w:vAlign w:val="center"/>
                                  <w:hideMark/>
                                </w:tcPr>
                                <w:p w14:paraId="5768F470" w14:textId="41AC67C3" w:rsidR="00166FAF" w:rsidRDefault="00166FAF" w:rsidP="00166FAF">
                                  <w:pPr>
                                    <w:rPr>
                                      <w:rFonts w:ascii="Arial" w:hAnsi="Arial" w:cs="Arial"/>
                                      <w:color w:val="000000"/>
                                      <w:sz w:val="22"/>
                                      <w:szCs w:val="22"/>
                                    </w:rPr>
                                  </w:pPr>
                                  <w:bookmarkStart w:id="1" w:name="RANGE!A1"/>
                                  <w:bookmarkStart w:id="2" w:name="_Hlk518472977"/>
                                  <w:bookmarkEnd w:id="1"/>
                                  <w:r>
                                    <w:rPr>
                                      <w:rFonts w:ascii="Arial" w:hAnsi="Arial" w:cs="Arial"/>
                                      <w:color w:val="000000"/>
                                      <w:sz w:val="22"/>
                                      <w:szCs w:val="22"/>
                                    </w:rPr>
                                    <w:t> </w:t>
                                  </w:r>
                                  <w:r w:rsidR="00752474">
                                    <w:rPr>
                                      <w:rFonts w:ascii="Arial" w:hAnsi="Arial" w:cs="Arial"/>
                                      <w:color w:val="000000"/>
                                      <w:sz w:val="22"/>
                                      <w:szCs w:val="22"/>
                                    </w:rPr>
                                    <w:t>Year Group</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70765835"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C&amp;L</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0722DC33"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HI/ VI</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5F663637"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SEMH</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6F3AC3D4"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Sp &amp; L /ASC</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3C7792C7"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PD</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5246B263"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Total SEND</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7D364E7C"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SEND %</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276DF90A"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Cohort</w:t>
                                  </w:r>
                                </w:p>
                              </w:tc>
                            </w:tr>
                            <w:tr w:rsidR="00166FAF" w:rsidRPr="00F64E60" w14:paraId="40230BE8"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92F7DE0"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7</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DFCE30D"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16</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99F3A1F"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C858D4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A89CAB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7</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33293DD"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65F66C4"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27</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4F6531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14%</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18DF0DD9"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199</w:t>
                                  </w:r>
                                </w:p>
                              </w:tc>
                            </w:tr>
                            <w:tr w:rsidR="00166FAF" w:rsidRPr="00F64E60" w14:paraId="7A791D4F"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B8CA77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8</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E012E15"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0E51E221"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65CC142"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F6F06C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9</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164A9D5"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DD43588"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25</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116847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7E58055"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192</w:t>
                                  </w:r>
                                </w:p>
                              </w:tc>
                            </w:tr>
                            <w:tr w:rsidR="00166FAF" w:rsidRPr="00F64E60" w14:paraId="38818850"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3665723"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9</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829A1DF"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14</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033BEC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C2ABF2B"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6</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EF4BD85"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7</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E177C8B"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611C98B"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28</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36DCCAA"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15%</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651504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181</w:t>
                                  </w:r>
                                </w:p>
                              </w:tc>
                            </w:tr>
                            <w:tr w:rsidR="00166FAF" w:rsidRPr="00F64E60" w14:paraId="786FE2BC"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C573AB4"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10</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1973FCD6"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9</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11B7515F"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0B962C2"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30E7DA0"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8</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DF63219"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8ECD42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22</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093CBB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14%</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0FBD6E5"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154</w:t>
                                  </w:r>
                                </w:p>
                              </w:tc>
                            </w:tr>
                            <w:tr w:rsidR="00166FAF" w:rsidRPr="00F64E60" w14:paraId="2F7FAAD3"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75A3470"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A9AAD7D"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7</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AFE7789"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0F3CCEE4"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AD9A7B8"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B03FBBB"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2DD367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24</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B800F22"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16%</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AD16E41"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152</w:t>
                                  </w:r>
                                </w:p>
                              </w:tc>
                            </w:tr>
                            <w:tr w:rsidR="00166FAF" w:rsidRPr="00F64E60" w14:paraId="29B89936"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FC93A1E"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12</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5C76617"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DA46E59"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82A3F0D"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8</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7C18CCB"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74334FE"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854C7D1"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9</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7828B11"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61E0BD3"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71</w:t>
                                  </w:r>
                                </w:p>
                              </w:tc>
                            </w:tr>
                            <w:tr w:rsidR="00166FAF" w:rsidRPr="00F64E60" w14:paraId="367AE906"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9DA7440"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CAA879A"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520FC4E"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0D7C229E"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E48B8A0"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6DFB8EC"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FC63E06"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3467BF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6%</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20EA272"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49</w:t>
                                  </w:r>
                                </w:p>
                              </w:tc>
                            </w:tr>
                            <w:tr w:rsidR="00166FAF" w14:paraId="4887C093"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44A5D87"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Total</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3F2CF6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59</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50C31B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FDCC86B"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37</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401A9E2"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36</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EDF03FD"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0CA8E64B"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138</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6977581"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14%</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B83C0C9" w14:textId="77777777" w:rsidR="00166FAF" w:rsidRDefault="00166FAF" w:rsidP="00F64E60">
                                  <w:pPr>
                                    <w:shd w:val="clear" w:color="auto" w:fill="FFFFFF" w:themeFill="background1"/>
                                    <w:jc w:val="right"/>
                                    <w:rPr>
                                      <w:rFonts w:ascii="Arial" w:hAnsi="Arial" w:cs="Arial"/>
                                      <w:color w:val="000000"/>
                                      <w:sz w:val="22"/>
                                      <w:szCs w:val="22"/>
                                    </w:rPr>
                                  </w:pPr>
                                  <w:r w:rsidRPr="00F64E60">
                                    <w:rPr>
                                      <w:rFonts w:ascii="Arial" w:hAnsi="Arial" w:cs="Arial"/>
                                      <w:color w:val="000000"/>
                                      <w:sz w:val="22"/>
                                      <w:szCs w:val="22"/>
                                    </w:rPr>
                                    <w:t>998</w:t>
                                  </w:r>
                                  <w:bookmarkEnd w:id="2"/>
                                </w:p>
                              </w:tc>
                            </w:tr>
                          </w:tbl>
                          <w:p w14:paraId="1AF3B447" w14:textId="77777777" w:rsidR="00166FAF" w:rsidRDefault="00166FAF" w:rsidP="00F64E60">
                            <w:pPr>
                              <w:spacing w:after="160" w:line="259" w:lineRule="auto"/>
                              <w:rPr>
                                <w:rFonts w:ascii="Calibri" w:hAnsi="Calibri"/>
                              </w:rPr>
                            </w:pPr>
                          </w:p>
                          <w:bookmarkEnd w:id="0"/>
                          <w:p w14:paraId="1257B85A" w14:textId="77777777" w:rsidR="00166FAF" w:rsidRDefault="00166FAF" w:rsidP="00F64E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96550" id="_x0000_t202" coordsize="21600,21600" o:spt="202" path="m,l,21600r21600,l21600,xe">
                <v:stroke joinstyle="miter"/>
                <v:path gradientshapeok="t" o:connecttype="rect"/>
              </v:shapetype>
              <v:shape id="Text Box 2" o:spid="_x0000_s1026" type="#_x0000_t202" style="position:absolute;margin-left:-12.75pt;margin-top:27pt;width:760.5pt;height:22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">
                <v:textbox>
                  <w:txbxContent>
                    <w:p w14:paraId="261A3B7D" w14:textId="7713ACB9" w:rsidR="00166FAF" w:rsidRDefault="00166FAF" w:rsidP="00F64E60">
                      <w:pPr>
                        <w:spacing w:line="259" w:lineRule="auto"/>
                        <w:rPr>
                          <w:rFonts w:ascii="Arial" w:hAnsi="Arial" w:cs="Arial"/>
                        </w:rPr>
                      </w:pPr>
                      <w:bookmarkStart w:id="3" w:name="_Hlk7198445"/>
                      <w:r>
                        <w:rPr>
                          <w:rFonts w:ascii="Arial" w:hAnsi="Arial" w:cs="Arial"/>
                        </w:rPr>
                        <w:t>14</w:t>
                      </w:r>
                      <w:r w:rsidRPr="00646E83">
                        <w:rPr>
                          <w:rFonts w:ascii="Arial" w:hAnsi="Arial" w:cs="Arial"/>
                        </w:rPr>
                        <w:t>% of pupils</w:t>
                      </w:r>
                      <w:r>
                        <w:rPr>
                          <w:rFonts w:ascii="Arial" w:hAnsi="Arial" w:cs="Arial"/>
                        </w:rPr>
                        <w:t xml:space="preserve"> are identified as having SEND, which is in line with</w:t>
                      </w:r>
                      <w:r w:rsidRPr="00646E83">
                        <w:rPr>
                          <w:rFonts w:ascii="Arial" w:hAnsi="Arial" w:cs="Arial"/>
                        </w:rPr>
                        <w:t xml:space="preserve"> </w:t>
                      </w:r>
                      <w:r>
                        <w:rPr>
                          <w:rFonts w:ascii="Arial" w:hAnsi="Arial" w:cs="Arial"/>
                        </w:rPr>
                        <w:t xml:space="preserve">the national average of 14.6% (DFE, July 2018).  138 pupils out </w:t>
                      </w:r>
                      <w:r w:rsidR="001C31B2">
                        <w:rPr>
                          <w:rFonts w:ascii="Arial" w:hAnsi="Arial" w:cs="Arial"/>
                        </w:rPr>
                        <w:t xml:space="preserve">of </w:t>
                      </w:r>
                      <w:r>
                        <w:rPr>
                          <w:rFonts w:ascii="Arial" w:hAnsi="Arial" w:cs="Arial"/>
                        </w:rPr>
                        <w:t xml:space="preserve">998 </w:t>
                      </w:r>
                      <w:r w:rsidRPr="00646E83">
                        <w:rPr>
                          <w:rFonts w:ascii="Arial" w:hAnsi="Arial" w:cs="Arial"/>
                        </w:rPr>
                        <w:t>pupils</w:t>
                      </w:r>
                      <w:r>
                        <w:rPr>
                          <w:rFonts w:ascii="Arial" w:hAnsi="Arial" w:cs="Arial"/>
                        </w:rPr>
                        <w:t xml:space="preserve"> are identified as having SEND. </w:t>
                      </w:r>
                      <w:r w:rsidRPr="00497378">
                        <w:rPr>
                          <w:rFonts w:ascii="Arial" w:hAnsi="Arial" w:cs="Arial"/>
                        </w:rPr>
                        <w:t>24</w:t>
                      </w:r>
                      <w:r w:rsidRPr="00646E83">
                        <w:rPr>
                          <w:rFonts w:ascii="Arial" w:hAnsi="Arial" w:cs="Arial"/>
                        </w:rPr>
                        <w:t xml:space="preserve"> pupils have an EHCP</w:t>
                      </w:r>
                      <w:r>
                        <w:rPr>
                          <w:rFonts w:ascii="Arial" w:hAnsi="Arial" w:cs="Arial"/>
                        </w:rPr>
                        <w:t xml:space="preserve">, which is 2.4% and broadly in line with the national average of 2.9%. Four </w:t>
                      </w:r>
                      <w:r w:rsidRPr="00497378">
                        <w:rPr>
                          <w:rFonts w:ascii="Arial" w:hAnsi="Arial" w:cs="Arial"/>
                        </w:rPr>
                        <w:t>reques</w:t>
                      </w:r>
                      <w:r>
                        <w:rPr>
                          <w:rFonts w:ascii="Arial" w:hAnsi="Arial" w:cs="Arial"/>
                        </w:rPr>
                        <w:t>ts for statutory assessments</w:t>
                      </w:r>
                      <w:r w:rsidR="001C31B2">
                        <w:rPr>
                          <w:rFonts w:ascii="Arial" w:hAnsi="Arial" w:cs="Arial"/>
                        </w:rPr>
                        <w:t xml:space="preserve"> were</w:t>
                      </w:r>
                      <w:r>
                        <w:rPr>
                          <w:rFonts w:ascii="Arial" w:hAnsi="Arial" w:cs="Arial"/>
                        </w:rPr>
                        <w:t xml:space="preserve"> made during the year</w:t>
                      </w:r>
                      <w:r w:rsidRPr="00497378">
                        <w:rPr>
                          <w:rFonts w:ascii="Arial" w:hAnsi="Arial" w:cs="Arial"/>
                        </w:rPr>
                        <w:t>.</w:t>
                      </w:r>
                      <w:r>
                        <w:rPr>
                          <w:rFonts w:ascii="Arial" w:hAnsi="Arial" w:cs="Arial"/>
                        </w:rPr>
                        <w:t xml:space="preserve"> 27% of pupils are pupil premium. There are </w:t>
                      </w:r>
                      <w:r w:rsidRPr="00497378">
                        <w:rPr>
                          <w:rFonts w:ascii="Arial" w:hAnsi="Arial" w:cs="Arial"/>
                        </w:rPr>
                        <w:t>50</w:t>
                      </w:r>
                      <w:r>
                        <w:rPr>
                          <w:rFonts w:ascii="Arial" w:hAnsi="Arial" w:cs="Arial"/>
                        </w:rPr>
                        <w:t xml:space="preserve"> pupils identified as SEND and pupil premium. </w:t>
                      </w:r>
                    </w:p>
                    <w:p w14:paraId="3B938FF3" w14:textId="77777777" w:rsidR="00166FAF" w:rsidRPr="00646E83" w:rsidRDefault="00166FAF" w:rsidP="00F64E60">
                      <w:pPr>
                        <w:spacing w:line="259" w:lineRule="auto"/>
                        <w:rPr>
                          <w:rFonts w:ascii="Arial" w:hAnsi="Arial" w:cs="Arial"/>
                        </w:rPr>
                      </w:pPr>
                    </w:p>
                    <w:tbl>
                      <w:tblPr>
                        <w:tblW w:w="12420" w:type="dxa"/>
                        <w:tblInd w:w="108" w:type="dxa"/>
                        <w:shd w:val="clear" w:color="auto" w:fill="FFFFFF" w:themeFill="background1"/>
                        <w:tblLook w:val="04A0" w:firstRow="1" w:lastRow="0" w:firstColumn="1" w:lastColumn="0" w:noHBand="0" w:noVBand="1"/>
                      </w:tblPr>
                      <w:tblGrid>
                        <w:gridCol w:w="1380"/>
                        <w:gridCol w:w="1380"/>
                        <w:gridCol w:w="1380"/>
                        <w:gridCol w:w="1380"/>
                        <w:gridCol w:w="1380"/>
                        <w:gridCol w:w="1380"/>
                        <w:gridCol w:w="1380"/>
                        <w:gridCol w:w="1380"/>
                        <w:gridCol w:w="1380"/>
                      </w:tblGrid>
                      <w:tr w:rsidR="00166FAF" w:rsidRPr="00F64E60" w14:paraId="40F7B033" w14:textId="77777777" w:rsidTr="00F64E60">
                        <w:trPr>
                          <w:trHeight w:val="315"/>
                        </w:trPr>
                        <w:tc>
                          <w:tcPr>
                            <w:tcW w:w="1380" w:type="dxa"/>
                            <w:tcBorders>
                              <w:top w:val="single" w:sz="8" w:space="0" w:color="auto"/>
                              <w:left w:val="single" w:sz="8" w:space="0" w:color="auto"/>
                              <w:bottom w:val="single" w:sz="8" w:space="0" w:color="auto"/>
                              <w:right w:val="single" w:sz="8" w:space="0" w:color="auto"/>
                            </w:tcBorders>
                            <w:shd w:val="clear" w:color="auto" w:fill="4F81BD" w:themeFill="accent1"/>
                            <w:vAlign w:val="center"/>
                            <w:hideMark/>
                          </w:tcPr>
                          <w:p w14:paraId="5768F470" w14:textId="41AC67C3" w:rsidR="00166FAF" w:rsidRDefault="00166FAF" w:rsidP="00166FAF">
                            <w:pPr>
                              <w:rPr>
                                <w:rFonts w:ascii="Arial" w:hAnsi="Arial" w:cs="Arial"/>
                                <w:color w:val="000000"/>
                                <w:sz w:val="22"/>
                                <w:szCs w:val="22"/>
                              </w:rPr>
                            </w:pPr>
                            <w:bookmarkStart w:id="4" w:name="RANGE!A1"/>
                            <w:bookmarkStart w:id="5" w:name="_Hlk518472977"/>
                            <w:bookmarkEnd w:id="4"/>
                            <w:r>
                              <w:rPr>
                                <w:rFonts w:ascii="Arial" w:hAnsi="Arial" w:cs="Arial"/>
                                <w:color w:val="000000"/>
                                <w:sz w:val="22"/>
                                <w:szCs w:val="22"/>
                              </w:rPr>
                              <w:t> </w:t>
                            </w:r>
                            <w:r w:rsidR="00752474">
                              <w:rPr>
                                <w:rFonts w:ascii="Arial" w:hAnsi="Arial" w:cs="Arial"/>
                                <w:color w:val="000000"/>
                                <w:sz w:val="22"/>
                                <w:szCs w:val="22"/>
                              </w:rPr>
                              <w:t>Year Group</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70765835"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C&amp;L</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0722DC33"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HI/ VI</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5F663637"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SEMH</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6F3AC3D4"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Sp &amp; L /ASC</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3C7792C7"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PD</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5246B263"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Total SEND</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7D364E7C"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SEND %</w:t>
                            </w:r>
                          </w:p>
                        </w:tc>
                        <w:tc>
                          <w:tcPr>
                            <w:tcW w:w="1380" w:type="dxa"/>
                            <w:tcBorders>
                              <w:top w:val="single" w:sz="8" w:space="0" w:color="auto"/>
                              <w:left w:val="nil"/>
                              <w:bottom w:val="single" w:sz="8" w:space="0" w:color="auto"/>
                              <w:right w:val="single" w:sz="8" w:space="0" w:color="auto"/>
                            </w:tcBorders>
                            <w:shd w:val="clear" w:color="auto" w:fill="4F81BD" w:themeFill="accent1"/>
                            <w:vAlign w:val="center"/>
                            <w:hideMark/>
                          </w:tcPr>
                          <w:p w14:paraId="276DF90A"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Cohort</w:t>
                            </w:r>
                          </w:p>
                        </w:tc>
                      </w:tr>
                      <w:tr w:rsidR="00166FAF" w:rsidRPr="00F64E60" w14:paraId="40230BE8"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92F7DE0"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7</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DFCE30D"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16</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99F3A1F"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C858D4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A89CAB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7</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33293DD"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65F66C4"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27</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4F6531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14%</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18DF0DD9"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199</w:t>
                            </w:r>
                          </w:p>
                        </w:tc>
                      </w:tr>
                      <w:tr w:rsidR="00166FAF" w:rsidRPr="00F64E60" w14:paraId="7A791D4F"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B8CA77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8</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E012E15"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0E51E221"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65CC142"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F6F06C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9</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164A9D5"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DD43588"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25</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116847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7E58055"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192</w:t>
                            </w:r>
                          </w:p>
                        </w:tc>
                      </w:tr>
                      <w:tr w:rsidR="00166FAF" w:rsidRPr="00F64E60" w14:paraId="38818850"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13665723"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9</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829A1DF"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14</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033BEC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C2ABF2B"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6</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EF4BD85"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7</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E177C8B"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611C98B"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28</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36DCCAA"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15%</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651504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181</w:t>
                            </w:r>
                          </w:p>
                        </w:tc>
                      </w:tr>
                      <w:tr w:rsidR="00166FAF" w:rsidRPr="00F64E60" w14:paraId="786FE2BC"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C573AB4"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10</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1973FCD6"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9</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11B7515F"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0B962C2"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30E7DA0"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8</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DF63219"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8ECD42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22</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093CBB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14%</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0FBD6E5"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154</w:t>
                            </w:r>
                          </w:p>
                        </w:tc>
                      </w:tr>
                      <w:tr w:rsidR="00166FAF" w:rsidRPr="00F64E60" w14:paraId="2F7FAAD3"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775A3470"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A9AAD7D"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7</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AFE7789"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0F3CCEE4"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AD9A7B8"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B03FBBB"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2DD367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24</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B800F22"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16%</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AD16E41"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152</w:t>
                            </w:r>
                          </w:p>
                        </w:tc>
                      </w:tr>
                      <w:tr w:rsidR="00166FAF" w:rsidRPr="00F64E60" w14:paraId="29B89936"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4FC93A1E"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12</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5C76617"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DA46E59"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82A3F0D"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8</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7C18CCB"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74334FE"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854C7D1"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9</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7828B11"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61E0BD3"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71</w:t>
                            </w:r>
                          </w:p>
                        </w:tc>
                      </w:tr>
                      <w:tr w:rsidR="00166FAF" w:rsidRPr="00F64E60" w14:paraId="367AE906"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9DA7440"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CAA879A"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520FC4E"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0D7C229E"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2</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6E48B8A0"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6DFB8EC"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 </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FC63E06"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3467BF7"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6%</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720EA272"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49</w:t>
                            </w:r>
                          </w:p>
                        </w:tc>
                      </w:tr>
                      <w:tr w:rsidR="00166FAF" w14:paraId="4887C093" w14:textId="77777777" w:rsidTr="00F64E60">
                        <w:trPr>
                          <w:trHeight w:val="315"/>
                        </w:trPr>
                        <w:tc>
                          <w:tcPr>
                            <w:tcW w:w="138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44A5D87" w14:textId="77777777" w:rsidR="00166FAF" w:rsidRPr="00F64E60" w:rsidRDefault="00166FAF" w:rsidP="00166FAF">
                            <w:pPr>
                              <w:rPr>
                                <w:rFonts w:ascii="Arial" w:hAnsi="Arial" w:cs="Arial"/>
                                <w:color w:val="000000"/>
                                <w:sz w:val="22"/>
                                <w:szCs w:val="22"/>
                              </w:rPr>
                            </w:pPr>
                            <w:r w:rsidRPr="00F64E60">
                              <w:rPr>
                                <w:rFonts w:ascii="Arial" w:hAnsi="Arial" w:cs="Arial"/>
                                <w:color w:val="000000"/>
                                <w:sz w:val="22"/>
                                <w:szCs w:val="22"/>
                              </w:rPr>
                              <w:t>Total</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3F2CF6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59</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250C31BC"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5FDCC86B"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37</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401A9E2"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36</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EDF03FD"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3</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0CA8E64B"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138</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46977581" w14:textId="77777777" w:rsidR="00166FAF" w:rsidRPr="00F64E60" w:rsidRDefault="00166FAF" w:rsidP="00166FAF">
                            <w:pPr>
                              <w:jc w:val="right"/>
                              <w:rPr>
                                <w:rFonts w:ascii="Arial" w:hAnsi="Arial" w:cs="Arial"/>
                                <w:color w:val="000000"/>
                                <w:sz w:val="22"/>
                                <w:szCs w:val="22"/>
                              </w:rPr>
                            </w:pPr>
                            <w:r w:rsidRPr="00F64E60">
                              <w:rPr>
                                <w:rFonts w:ascii="Arial" w:hAnsi="Arial" w:cs="Arial"/>
                                <w:color w:val="000000"/>
                                <w:sz w:val="22"/>
                                <w:szCs w:val="22"/>
                              </w:rPr>
                              <w:t>14%</w:t>
                            </w:r>
                          </w:p>
                        </w:tc>
                        <w:tc>
                          <w:tcPr>
                            <w:tcW w:w="1380" w:type="dxa"/>
                            <w:tcBorders>
                              <w:top w:val="nil"/>
                              <w:left w:val="nil"/>
                              <w:bottom w:val="single" w:sz="8" w:space="0" w:color="auto"/>
                              <w:right w:val="single" w:sz="8" w:space="0" w:color="auto"/>
                            </w:tcBorders>
                            <w:shd w:val="clear" w:color="auto" w:fill="FFFFFF" w:themeFill="background1"/>
                            <w:vAlign w:val="center"/>
                            <w:hideMark/>
                          </w:tcPr>
                          <w:p w14:paraId="3B83C0C9" w14:textId="77777777" w:rsidR="00166FAF" w:rsidRDefault="00166FAF" w:rsidP="00F64E60">
                            <w:pPr>
                              <w:shd w:val="clear" w:color="auto" w:fill="FFFFFF" w:themeFill="background1"/>
                              <w:jc w:val="right"/>
                              <w:rPr>
                                <w:rFonts w:ascii="Arial" w:hAnsi="Arial" w:cs="Arial"/>
                                <w:color w:val="000000"/>
                                <w:sz w:val="22"/>
                                <w:szCs w:val="22"/>
                              </w:rPr>
                            </w:pPr>
                            <w:r w:rsidRPr="00F64E60">
                              <w:rPr>
                                <w:rFonts w:ascii="Arial" w:hAnsi="Arial" w:cs="Arial"/>
                                <w:color w:val="000000"/>
                                <w:sz w:val="22"/>
                                <w:szCs w:val="22"/>
                              </w:rPr>
                              <w:t>998</w:t>
                            </w:r>
                            <w:bookmarkEnd w:id="5"/>
                          </w:p>
                        </w:tc>
                      </w:tr>
                    </w:tbl>
                    <w:p w14:paraId="1AF3B447" w14:textId="77777777" w:rsidR="00166FAF" w:rsidRDefault="00166FAF" w:rsidP="00F64E60">
                      <w:pPr>
                        <w:spacing w:after="160" w:line="259" w:lineRule="auto"/>
                        <w:rPr>
                          <w:rFonts w:ascii="Calibri" w:hAnsi="Calibri"/>
                        </w:rPr>
                      </w:pPr>
                    </w:p>
                    <w:bookmarkEnd w:id="3"/>
                    <w:p w14:paraId="1257B85A" w14:textId="77777777" w:rsidR="00166FAF" w:rsidRDefault="00166FAF" w:rsidP="00F64E60"/>
                  </w:txbxContent>
                </v:textbox>
                <w10:wrap type="square" anchorx="margin"/>
              </v:shape>
            </w:pict>
          </mc:Fallback>
        </mc:AlternateContent>
      </w:r>
      <w:r w:rsidR="00F64E60" w:rsidRPr="00C8471A">
        <w:rPr>
          <w:rFonts w:eastAsia="Times New Roman" w:cs="Arial"/>
          <w:bdr w:val="none" w:sz="0" w:space="0" w:color="auto"/>
          <w:lang w:val="en-GB"/>
        </w:rPr>
        <w:t>Context of the school including key SEND statistics, for example the % of pupils with SEND, % of pupils with an EHCP</w:t>
      </w:r>
      <w:r w:rsidR="00F64E60" w:rsidRPr="00C8471A">
        <w:rPr>
          <w:rFonts w:eastAsia="Times New Roman"/>
          <w:noProof/>
          <w:color w:val="FF0000"/>
          <w:bdr w:val="none" w:sz="0" w:space="0" w:color="auto"/>
          <w:lang w:val="en-GB"/>
        </w:rPr>
        <w:t xml:space="preserve"> </w:t>
      </w:r>
    </w:p>
    <w:p w14:paraId="60767FC2" w14:textId="77777777" w:rsidR="004021A1" w:rsidRPr="00C8471A" w:rsidRDefault="004021A1" w:rsidP="00C8471A">
      <w:pPr>
        <w:pStyle w:val="NoSpacing"/>
      </w:pPr>
    </w:p>
    <w:p w14:paraId="721E3114" w14:textId="58F59589" w:rsidR="003A511B" w:rsidRPr="001C31B2" w:rsidRDefault="003A511B" w:rsidP="00C8471A">
      <w:pPr>
        <w:pStyle w:val="NoSpacing"/>
        <w:rPr>
          <w:b/>
          <w:bCs/>
        </w:rPr>
      </w:pPr>
      <w:r w:rsidRPr="001C31B2">
        <w:rPr>
          <w:b/>
          <w:bCs/>
        </w:rPr>
        <w:t>Year 7 to 11</w:t>
      </w:r>
    </w:p>
    <w:p w14:paraId="0B4DAF8D" w14:textId="77777777" w:rsidR="003A511B" w:rsidRPr="00C8471A" w:rsidRDefault="003A511B" w:rsidP="00C8471A">
      <w:pPr>
        <w:pStyle w:val="NoSpacing"/>
        <w:rPr>
          <w:color w:val="000000"/>
        </w:rPr>
      </w:pPr>
      <w:r w:rsidRPr="00C8471A">
        <w:rPr>
          <w:color w:val="000000"/>
        </w:rPr>
        <w:t xml:space="preserve">As a school we refer to students as being on a flight path, from year 7 to year 11, rather than focusing on Key Stage 3 and 4. This enable us to focus on how students learn and the skills they need as they progress towards their GCSE exams. </w:t>
      </w:r>
    </w:p>
    <w:p w14:paraId="3E545B43" w14:textId="77777777" w:rsidR="003A511B" w:rsidRPr="00C8471A" w:rsidRDefault="003A511B" w:rsidP="00C8471A">
      <w:pPr>
        <w:pStyle w:val="NoSpacing"/>
        <w:rPr>
          <w:color w:val="000000"/>
        </w:rPr>
      </w:pPr>
    </w:p>
    <w:p w14:paraId="453DE52B" w14:textId="76AAA400" w:rsidR="003A511B" w:rsidRPr="00C8471A" w:rsidRDefault="003A511B" w:rsidP="00C8471A">
      <w:pPr>
        <w:pStyle w:val="NoSpacing"/>
        <w:rPr>
          <w:color w:val="000000"/>
        </w:rPr>
      </w:pPr>
      <w:r w:rsidRPr="00C8471A">
        <w:rPr>
          <w:color w:val="000000"/>
        </w:rPr>
        <w:t>We continue to see year 7, 8 and 9 as the priority from an intervention view point. This fits in with the flight path approach as we need to give early support if students are to succeed in their exams</w:t>
      </w:r>
      <w:r w:rsidR="00BE1AAF">
        <w:rPr>
          <w:color w:val="000000"/>
        </w:rPr>
        <w:t>.</w:t>
      </w:r>
      <w:r w:rsidRPr="00C8471A">
        <w:rPr>
          <w:color w:val="000000"/>
        </w:rPr>
        <w:t xml:space="preserve"> </w:t>
      </w:r>
      <w:r w:rsidR="00BE1AAF">
        <w:rPr>
          <w:color w:val="000000"/>
        </w:rPr>
        <w:t>T</w:t>
      </w:r>
      <w:r w:rsidRPr="00C8471A">
        <w:rPr>
          <w:color w:val="000000"/>
        </w:rPr>
        <w:t>o ensur</w:t>
      </w:r>
      <w:r w:rsidR="00602423">
        <w:rPr>
          <w:color w:val="000000"/>
        </w:rPr>
        <w:t>e</w:t>
      </w:r>
      <w:r w:rsidRPr="00C8471A">
        <w:rPr>
          <w:color w:val="000000"/>
        </w:rPr>
        <w:t xml:space="preserve"> positive outcomes for our students we need to maximize the support as soon as they join us, not just when they are undertaking their GCSEs. </w:t>
      </w:r>
      <w:r w:rsidR="00153C11" w:rsidRPr="00C8471A">
        <w:rPr>
          <w:color w:val="000000"/>
        </w:rPr>
        <w:t>We assess students across all subjects on a regular basis and staff are able to highlight concerns to the SENDCo for further consideration. Interventions for Maths, Literacy and Speech and Language are regularly used in school.</w:t>
      </w:r>
    </w:p>
    <w:p w14:paraId="728D7590" w14:textId="77777777" w:rsidR="003A511B" w:rsidRPr="00C8471A" w:rsidRDefault="003A511B" w:rsidP="00C8471A">
      <w:pPr>
        <w:pStyle w:val="NoSpacing"/>
        <w:rPr>
          <w:color w:val="000000"/>
        </w:rPr>
      </w:pPr>
    </w:p>
    <w:p w14:paraId="37E41870" w14:textId="66C5A4EF" w:rsidR="003A511B" w:rsidRPr="00C8471A" w:rsidRDefault="003A511B" w:rsidP="00C8471A">
      <w:pPr>
        <w:pStyle w:val="NoSpacing"/>
        <w:rPr>
          <w:color w:val="000000"/>
        </w:rPr>
      </w:pPr>
      <w:r w:rsidRPr="00C8471A">
        <w:rPr>
          <w:color w:val="000000"/>
        </w:rPr>
        <w:t>Impact analysis shows that those students who study Learning Support (LS) and Literacy and Thinking Skills (LTS) make broadly more progress across their whole school curriculum but not specifically in English. This is something we have been focusing on and looking at those underpinning skills, including spelling, reading and comprehension. Our focus in these subjects are the core underlying skills students need and to have the time to facilitate practice and improvement upon these skills.</w:t>
      </w:r>
      <w:r w:rsidR="00153C11" w:rsidRPr="00C8471A">
        <w:rPr>
          <w:color w:val="000000"/>
        </w:rPr>
        <w:t xml:space="preserve"> </w:t>
      </w:r>
    </w:p>
    <w:p w14:paraId="475550F2" w14:textId="2F0F31E0" w:rsidR="00153C11" w:rsidRPr="00C8471A" w:rsidRDefault="00153C11" w:rsidP="00C8471A">
      <w:pPr>
        <w:pStyle w:val="NoSpacing"/>
        <w:rPr>
          <w:color w:val="000000"/>
        </w:rPr>
      </w:pPr>
    </w:p>
    <w:p w14:paraId="74F92FAB" w14:textId="56A6F940" w:rsidR="00153C11" w:rsidRPr="00C8471A" w:rsidRDefault="00153C11" w:rsidP="00C8471A">
      <w:pPr>
        <w:pStyle w:val="NoSpacing"/>
        <w:rPr>
          <w:color w:val="000000"/>
        </w:rPr>
      </w:pPr>
      <w:r w:rsidRPr="00C8471A">
        <w:rPr>
          <w:color w:val="000000"/>
        </w:rPr>
        <w:t>Learning support can also be taken as an option at KS 4. This enables students to access additional English and Maths support as well as supported time for course work, revision and additional studies.</w:t>
      </w:r>
    </w:p>
    <w:p w14:paraId="448A55BB" w14:textId="1B6747F7" w:rsidR="003A511B" w:rsidRPr="00C8471A" w:rsidRDefault="003A511B" w:rsidP="00C8471A">
      <w:pPr>
        <w:pStyle w:val="NoSpacing"/>
      </w:pPr>
    </w:p>
    <w:p w14:paraId="64409C5B" w14:textId="77777777" w:rsidR="006658FF" w:rsidRPr="00C8471A" w:rsidRDefault="006658FF" w:rsidP="00C8471A">
      <w:pPr>
        <w:pStyle w:val="NoSpacing"/>
      </w:pPr>
    </w:p>
    <w:p w14:paraId="0A07C6FF" w14:textId="77777777" w:rsidR="003A511B" w:rsidRPr="00BE1AAF" w:rsidRDefault="003A511B" w:rsidP="00C8471A">
      <w:pPr>
        <w:pStyle w:val="NoSpacing"/>
        <w:rPr>
          <w:b/>
          <w:bCs/>
        </w:rPr>
      </w:pPr>
      <w:r w:rsidRPr="00BE1AAF">
        <w:rPr>
          <w:b/>
          <w:bCs/>
        </w:rPr>
        <w:t xml:space="preserve">GCSE results </w:t>
      </w:r>
    </w:p>
    <w:p w14:paraId="7804816D" w14:textId="39FD2003" w:rsidR="004021A1" w:rsidRPr="00C8471A" w:rsidRDefault="003A511B" w:rsidP="00C8471A">
      <w:pPr>
        <w:pStyle w:val="NoSpacing"/>
      </w:pPr>
      <w:r w:rsidRPr="00C8471A">
        <w:t>A particular focus with this cohort was supporting students who struggled with anxiety</w:t>
      </w:r>
      <w:r w:rsidR="00BE1AAF">
        <w:t>.</w:t>
      </w:r>
      <w:r w:rsidRPr="00C8471A">
        <w:t xml:space="preserve"> We ran support session</w:t>
      </w:r>
      <w:r w:rsidR="00BE1AAF">
        <w:t>s</w:t>
      </w:r>
      <w:r w:rsidRPr="00C8471A">
        <w:t xml:space="preserve">, for both students and parent/carers, and we were very pleased with the engagement and outcomes. Making use of the pre public exams (previously known as mocks) and previous assessment situations we were able to identify students who struggled with the additional pressure and/or struggled with anxiety. The support given and strategies taught were beneficial to </w:t>
      </w:r>
      <w:r w:rsidR="00BE1AAF">
        <w:t>the</w:t>
      </w:r>
      <w:r w:rsidRPr="00C8471A">
        <w:t xml:space="preserve"> majority of our students. The SEND category of </w:t>
      </w:r>
      <w:r w:rsidR="00153C11" w:rsidRPr="00C8471A">
        <w:t>‘s</w:t>
      </w:r>
      <w:r w:rsidRPr="00C8471A">
        <w:t>ocial, emotional and mental health needs</w:t>
      </w:r>
      <w:r w:rsidR="00153C11" w:rsidRPr="00C8471A">
        <w:t>’</w:t>
      </w:r>
      <w:r w:rsidRPr="00C8471A">
        <w:t xml:space="preserve"> continues to be a complex area and we work hard to liaise with agencies that can support young people who are finding things difficult.</w:t>
      </w:r>
      <w:r w:rsidR="00153C11" w:rsidRPr="00C8471A">
        <w:t xml:space="preserve"> </w:t>
      </w:r>
      <w:r w:rsidR="00BE1AAF">
        <w:t>Many</w:t>
      </w:r>
      <w:r w:rsidR="00153C11" w:rsidRPr="00C8471A">
        <w:t xml:space="preserve"> of our year 11 cohort were primarily on the SEND register due to their emotional needs and </w:t>
      </w:r>
      <w:r w:rsidR="00591C87" w:rsidRPr="00C8471A">
        <w:t xml:space="preserve">this being a barrier to their learning. </w:t>
      </w:r>
      <w:r w:rsidR="00153C11" w:rsidRPr="00C8471A">
        <w:t xml:space="preserve">Whilst we found the level of anxiety surrounding the final exams was </w:t>
      </w:r>
      <w:r w:rsidR="00BE1AAF">
        <w:t>reduced</w:t>
      </w:r>
      <w:r w:rsidR="00591C87" w:rsidRPr="00C8471A">
        <w:t>,</w:t>
      </w:r>
      <w:r w:rsidR="00153C11" w:rsidRPr="00C8471A">
        <w:t xml:space="preserve"> the students had had periods of time throughout their education where their emotional wellbeing had impacted their ability to focus on their studies, attend lessons or indeed sch</w:t>
      </w:r>
      <w:r w:rsidR="00591C87" w:rsidRPr="00C8471A">
        <w:t>ool.</w:t>
      </w:r>
    </w:p>
    <w:p w14:paraId="61CB6B42" w14:textId="77777777" w:rsidR="003A511B" w:rsidRPr="00C8471A" w:rsidRDefault="003A511B" w:rsidP="00C8471A">
      <w:pPr>
        <w:pStyle w:val="NoSpacing"/>
      </w:pPr>
    </w:p>
    <w:p w14:paraId="53DEB04C" w14:textId="77777777" w:rsidR="003A511B" w:rsidRPr="00BE1AAF" w:rsidRDefault="003A511B" w:rsidP="00C8471A">
      <w:pPr>
        <w:pStyle w:val="NoSpacing"/>
        <w:rPr>
          <w:b/>
          <w:bCs/>
        </w:rPr>
      </w:pPr>
      <w:r w:rsidRPr="00BE1AAF">
        <w:rPr>
          <w:b/>
          <w:bCs/>
        </w:rPr>
        <w:t>SEND summary</w:t>
      </w:r>
    </w:p>
    <w:p w14:paraId="211E2DFA" w14:textId="77777777" w:rsidR="003A511B" w:rsidRPr="00C8471A" w:rsidRDefault="003A511B" w:rsidP="00C8471A">
      <w:pPr>
        <w:pStyle w:val="NoSpacing"/>
      </w:pPr>
    </w:p>
    <w:p w14:paraId="1DD6858C" w14:textId="7600EF28" w:rsidR="003A511B" w:rsidRPr="00C8471A" w:rsidRDefault="00BE1AAF" w:rsidP="00C8471A">
      <w:pPr>
        <w:pStyle w:val="NoSpacing"/>
      </w:pPr>
      <w:r>
        <w:t xml:space="preserve">Procedures for ensuring the access </w:t>
      </w:r>
      <w:r w:rsidR="003A511B" w:rsidRPr="00C8471A">
        <w:t>arrangements are</w:t>
      </w:r>
      <w:r w:rsidR="00591C87" w:rsidRPr="00C8471A">
        <w:t xml:space="preserve"> applied for and</w:t>
      </w:r>
      <w:r w:rsidR="003A511B" w:rsidRPr="00C8471A">
        <w:t xml:space="preserve"> put in place</w:t>
      </w:r>
      <w:r>
        <w:t xml:space="preserve"> are thorough</w:t>
      </w:r>
      <w:r w:rsidR="003A511B" w:rsidRPr="00C8471A">
        <w:t xml:space="preserve">. Access Arrangements are focused on removing barriers and </w:t>
      </w:r>
      <w:r>
        <w:t>leveling</w:t>
      </w:r>
      <w:r w:rsidR="003A511B" w:rsidRPr="00C8471A">
        <w:t xml:space="preserve"> the playing field for SEND students. We have become well versed in what arrangements are available and what works for different students dependent upon the needs. The Special Educational Needs Support Service (SENSS) </w:t>
      </w:r>
      <w:r>
        <w:t>is</w:t>
      </w:r>
      <w:r w:rsidR="003A511B" w:rsidRPr="00C8471A">
        <w:t xml:space="preserve"> responsible for our Access Arrangements assessments. They have identified us as a </w:t>
      </w:r>
      <w:proofErr w:type="spellStart"/>
      <w:r w:rsidR="000B0865" w:rsidRPr="00C8471A">
        <w:t>cent</w:t>
      </w:r>
      <w:r>
        <w:t>r</w:t>
      </w:r>
      <w:r w:rsidR="000B0865" w:rsidRPr="00C8471A">
        <w:t>e</w:t>
      </w:r>
      <w:proofErr w:type="spellEnd"/>
      <w:r w:rsidR="003A511B" w:rsidRPr="00C8471A">
        <w:t xml:space="preserve"> of good practice and often refer other schools to communicate with us where support is needed. </w:t>
      </w:r>
    </w:p>
    <w:p w14:paraId="49CE0867" w14:textId="77777777" w:rsidR="003A511B" w:rsidRPr="00C8471A" w:rsidRDefault="003A511B" w:rsidP="00C8471A">
      <w:pPr>
        <w:pStyle w:val="NoSpacing"/>
      </w:pPr>
    </w:p>
    <w:p w14:paraId="41A250D1" w14:textId="3A7E8039" w:rsidR="003A511B" w:rsidRPr="00C8471A" w:rsidRDefault="003A511B" w:rsidP="00C8471A">
      <w:pPr>
        <w:pStyle w:val="NoSpacing"/>
      </w:pPr>
      <w:r w:rsidRPr="00C8471A">
        <w:t>Due to the focused support students receive, we get to know the individuals well and through packages and interventions we are able to facilitate support for individuals in different ways. The difficulty with any intervention is the impact upon their options/subjects. Throughout the flight path decisions are made and consequences identified and discussed with the students and their parents/</w:t>
      </w:r>
      <w:proofErr w:type="spellStart"/>
      <w:r w:rsidRPr="00C8471A">
        <w:t>carers</w:t>
      </w:r>
      <w:proofErr w:type="spellEnd"/>
      <w:r w:rsidRPr="00C8471A">
        <w:t xml:space="preserve"> </w:t>
      </w:r>
      <w:r w:rsidR="00BE1AAF">
        <w:t>are had. I</w:t>
      </w:r>
      <w:r w:rsidRPr="00C8471A">
        <w:t xml:space="preserve">t is clear that success can prevail if the right decisions are made and support, both academic and emotional/nurture, is in place. All the students were able to move forward from their KS4 studies and secure an appropriate progression route post 16. </w:t>
      </w:r>
    </w:p>
    <w:p w14:paraId="0B0337F2" w14:textId="77777777" w:rsidR="003A511B" w:rsidRPr="00C8471A" w:rsidRDefault="003A511B" w:rsidP="00C8471A">
      <w:pPr>
        <w:pStyle w:val="NoSpacing"/>
      </w:pPr>
    </w:p>
    <w:p w14:paraId="5E468C16" w14:textId="0EDE9662" w:rsidR="003A511B" w:rsidRPr="00C8471A" w:rsidRDefault="003A511B" w:rsidP="00C8471A">
      <w:pPr>
        <w:pStyle w:val="NoSpacing"/>
      </w:pPr>
      <w:r w:rsidRPr="00C8471A">
        <w:t>EAL students continue to receive support where needed. We implemented a high level of support to a student from a military family who moved to the area. We have TAs who have experience in working with EAL students</w:t>
      </w:r>
      <w:r w:rsidR="004070E6" w:rsidRPr="00C8471A">
        <w:t xml:space="preserve">. </w:t>
      </w:r>
      <w:r w:rsidRPr="00C8471A">
        <w:t xml:space="preserve">Our students from the </w:t>
      </w:r>
      <w:proofErr w:type="spellStart"/>
      <w:r w:rsidRPr="00C8471A">
        <w:t>Travel</w:t>
      </w:r>
      <w:r w:rsidR="00602423">
        <w:t>ler</w:t>
      </w:r>
      <w:proofErr w:type="spellEnd"/>
      <w:r w:rsidRPr="00C8471A">
        <w:t xml:space="preserve"> Community are well settled at TBS. They are all resident in the local areas. We do not currently have anyone requiring support.</w:t>
      </w:r>
    </w:p>
    <w:p w14:paraId="12ADC7D1" w14:textId="5DC06298" w:rsidR="00166FAF" w:rsidRPr="00C8471A" w:rsidRDefault="00166FAF" w:rsidP="00C8471A">
      <w:pPr>
        <w:pStyle w:val="NoSpacing"/>
      </w:pPr>
    </w:p>
    <w:p w14:paraId="38934759" w14:textId="56258735" w:rsidR="00166FAF" w:rsidRPr="00C8471A" w:rsidRDefault="00166FAF" w:rsidP="00C8471A">
      <w:pPr>
        <w:pStyle w:val="NoSpacing"/>
      </w:pPr>
      <w:r w:rsidRPr="00C8471A">
        <w:t xml:space="preserve">Communication with young people and their families is key. We </w:t>
      </w:r>
      <w:proofErr w:type="spellStart"/>
      <w:r w:rsidRPr="00C8471A">
        <w:t>endeavo</w:t>
      </w:r>
      <w:r w:rsidR="00602423">
        <w:t>ur</w:t>
      </w:r>
      <w:proofErr w:type="spellEnd"/>
      <w:r w:rsidRPr="00C8471A">
        <w:t xml:space="preserve"> to keep communication channels open and ensure parents/carers feel able to contact staff should they require information or support. For a young person to succeed it requires a team approach and for home and school to work together.</w:t>
      </w:r>
    </w:p>
    <w:p w14:paraId="53790DE5" w14:textId="77777777" w:rsidR="003A511B" w:rsidRPr="00C8471A" w:rsidRDefault="003A511B" w:rsidP="00C8471A">
      <w:pPr>
        <w:pStyle w:val="NoSpacing"/>
      </w:pPr>
    </w:p>
    <w:p w14:paraId="6616E53A" w14:textId="77777777" w:rsidR="003A511B" w:rsidRPr="00C8471A" w:rsidRDefault="003A511B" w:rsidP="00C8471A">
      <w:pPr>
        <w:pStyle w:val="NoSpacing"/>
      </w:pPr>
    </w:p>
    <w:p w14:paraId="1764D683" w14:textId="77777777" w:rsidR="003A511B" w:rsidRPr="00C8471A" w:rsidRDefault="003A511B" w:rsidP="00C8471A">
      <w:pPr>
        <w:pStyle w:val="NoSpacing"/>
        <w:rPr>
          <w:strike/>
        </w:rPr>
      </w:pPr>
      <w:r w:rsidRPr="00C8471A">
        <w:t>Kirsty Cowley</w:t>
      </w:r>
    </w:p>
    <w:p w14:paraId="472A28D5" w14:textId="47F54208" w:rsidR="003A511B" w:rsidRDefault="003A511B" w:rsidP="00C8471A">
      <w:pPr>
        <w:pStyle w:val="NoSpacing"/>
        <w:rPr>
          <w:lang w:val="de-DE"/>
        </w:rPr>
      </w:pPr>
      <w:r w:rsidRPr="00C8471A">
        <w:rPr>
          <w:lang w:val="de-DE"/>
        </w:rPr>
        <w:t>SENDCO for The Blandford School</w:t>
      </w:r>
    </w:p>
    <w:p w14:paraId="26F31608" w14:textId="56A104AD" w:rsidR="00C8471A" w:rsidRDefault="00C8471A" w:rsidP="00C8471A">
      <w:pPr>
        <w:pStyle w:val="NoSpacing"/>
        <w:rPr>
          <w:lang w:val="de-DE"/>
        </w:rPr>
      </w:pPr>
    </w:p>
    <w:p w14:paraId="7A3D3D88" w14:textId="0BFF39B0" w:rsidR="00C8471A" w:rsidRDefault="000F1D5A" w:rsidP="00C8471A">
      <w:pPr>
        <w:pStyle w:val="NoSpacing"/>
        <w:rPr>
          <w:lang w:val="de-DE"/>
        </w:rPr>
      </w:pPr>
      <w:hyperlink r:id="rId7" w:history="1">
        <w:r w:rsidR="00C8471A" w:rsidRPr="00490DBD">
          <w:rPr>
            <w:rStyle w:val="Hyperlink"/>
            <w:lang w:val="de-DE"/>
          </w:rPr>
          <w:t>kcowley@blandfordschool.org.uk</w:t>
        </w:r>
      </w:hyperlink>
    </w:p>
    <w:p w14:paraId="3A357800" w14:textId="72E20348" w:rsidR="00C8471A" w:rsidRPr="00C8471A" w:rsidRDefault="00C8471A" w:rsidP="00C8471A">
      <w:pPr>
        <w:pStyle w:val="NoSpacing"/>
        <w:rPr>
          <w:lang w:val="de-DE"/>
        </w:rPr>
      </w:pPr>
      <w:r>
        <w:rPr>
          <w:lang w:val="de-DE"/>
        </w:rPr>
        <w:t>01258 451121 (313)</w:t>
      </w:r>
    </w:p>
    <w:p w14:paraId="313E8D84" w14:textId="477C039C" w:rsidR="004021A1" w:rsidRPr="00C8471A" w:rsidRDefault="004021A1" w:rsidP="00C8471A">
      <w:pPr>
        <w:pStyle w:val="NoSpacing"/>
        <w:rPr>
          <w:lang w:val="de-DE"/>
        </w:rPr>
      </w:pPr>
    </w:p>
    <w:p w14:paraId="7BA35D1F" w14:textId="45386C37" w:rsidR="004021A1" w:rsidRPr="00C8471A" w:rsidRDefault="004021A1" w:rsidP="00C8471A">
      <w:pPr>
        <w:pStyle w:val="NoSpacing"/>
        <w:rPr>
          <w:color w:val="000000"/>
          <w:u w:color="000000"/>
          <w:lang w:val="de-DE" w:eastAsia="en-GB"/>
        </w:rPr>
      </w:pPr>
      <w:r w:rsidRPr="00C8471A">
        <w:rPr>
          <w:lang w:val="de-DE"/>
        </w:rPr>
        <w:br w:type="page"/>
      </w:r>
    </w:p>
    <w:p w14:paraId="376D4A39" w14:textId="2209EC7E" w:rsidR="003A511B" w:rsidRDefault="004070E6" w:rsidP="00C8471A">
      <w:pPr>
        <w:pStyle w:val="NoSpacing"/>
        <w:rPr>
          <w:color w:val="000000"/>
          <w:u w:color="000000"/>
          <w:lang w:eastAsia="en-GB"/>
        </w:rPr>
      </w:pPr>
      <w:r w:rsidRPr="00C8471A">
        <w:rPr>
          <w:color w:val="000000"/>
          <w:u w:color="000000"/>
          <w:lang w:eastAsia="en-GB"/>
        </w:rPr>
        <w:t>Exam figures – 3 year trend data</w:t>
      </w:r>
    </w:p>
    <w:p w14:paraId="71C252D2" w14:textId="77777777" w:rsidR="00BE1AAF" w:rsidRPr="00C8471A" w:rsidRDefault="00BE1AAF" w:rsidP="00C8471A">
      <w:pPr>
        <w:pStyle w:val="NoSpacing"/>
        <w:rPr>
          <w:color w:val="000000"/>
          <w:u w:color="000000"/>
          <w:lang w:eastAsia="en-GB"/>
        </w:rPr>
      </w:pPr>
    </w:p>
    <w:p w14:paraId="503DFEB7" w14:textId="07E947E8" w:rsidR="004070E6" w:rsidRPr="00C8471A" w:rsidRDefault="001C2E09" w:rsidP="00C8471A">
      <w:pPr>
        <w:pStyle w:val="NoSpacing"/>
        <w:rPr>
          <w:color w:val="000000"/>
          <w:u w:color="000000"/>
          <w:lang w:eastAsia="en-GB"/>
        </w:rPr>
      </w:pPr>
      <w:r w:rsidRPr="00C8471A">
        <w:rPr>
          <w:color w:val="000000"/>
          <w:u w:color="000000"/>
          <w:lang w:eastAsia="en-GB"/>
        </w:rPr>
        <w:t xml:space="preserve">The SEND count increased from 2016 to 2017 due to a review in our SEND groupings. These figures are clearly difficult to compare as the number of students and types of needs are not necessarily comparable. In 2018 there was one EHCP student who had additional difficulties in </w:t>
      </w:r>
      <w:r w:rsidR="00BE1AAF">
        <w:rPr>
          <w:color w:val="000000"/>
          <w:u w:color="000000"/>
          <w:lang w:eastAsia="en-GB"/>
        </w:rPr>
        <w:t>Y</w:t>
      </w:r>
      <w:r w:rsidRPr="00C8471A">
        <w:rPr>
          <w:color w:val="000000"/>
          <w:u w:color="000000"/>
          <w:lang w:eastAsia="en-GB"/>
        </w:rPr>
        <w:t>ear 11 that impacted their final GCSE outcome. They did however successfully embark upon a post 16 course.</w:t>
      </w:r>
    </w:p>
    <w:p w14:paraId="5BC45B3C" w14:textId="77777777" w:rsidR="004021A1" w:rsidRPr="00C8471A" w:rsidRDefault="004021A1" w:rsidP="00C8471A">
      <w:pPr>
        <w:pStyle w:val="NoSpacing"/>
        <w:rPr>
          <w:color w:val="000000"/>
          <w:u w:color="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09"/>
        <w:gridCol w:w="2410"/>
        <w:gridCol w:w="2410"/>
        <w:gridCol w:w="2410"/>
      </w:tblGrid>
      <w:tr w:rsidR="001C2E09" w:rsidRPr="00C8471A" w14:paraId="00E99D73" w14:textId="368CB772" w:rsidTr="001C2E09">
        <w:tc>
          <w:tcPr>
            <w:tcW w:w="3227" w:type="dxa"/>
          </w:tcPr>
          <w:p w14:paraId="10DEF5A9" w14:textId="77777777" w:rsidR="001C2E09" w:rsidRPr="00C8471A" w:rsidRDefault="001C2E09" w:rsidP="00C8471A">
            <w:pPr>
              <w:pStyle w:val="NoSpacing"/>
              <w:rPr>
                <w:rFonts w:eastAsia="Times New Roman" w:cs="Arial"/>
                <w:bdr w:val="none" w:sz="0" w:space="0" w:color="auto"/>
                <w:lang w:val="en-GB"/>
              </w:rPr>
            </w:pPr>
            <w:bookmarkStart w:id="6" w:name="_Hlk518396015"/>
            <w:r w:rsidRPr="00C8471A">
              <w:rPr>
                <w:rFonts w:eastAsia="Times New Roman" w:cs="Arial"/>
                <w:bdr w:val="none" w:sz="0" w:space="0" w:color="auto"/>
                <w:lang w:val="en-GB"/>
              </w:rPr>
              <w:t>Progress</w:t>
            </w:r>
          </w:p>
        </w:tc>
        <w:tc>
          <w:tcPr>
            <w:tcW w:w="2409" w:type="dxa"/>
          </w:tcPr>
          <w:p w14:paraId="54831A87"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2016</w:t>
            </w:r>
          </w:p>
        </w:tc>
        <w:tc>
          <w:tcPr>
            <w:tcW w:w="2410" w:type="dxa"/>
          </w:tcPr>
          <w:p w14:paraId="449D877B"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2017</w:t>
            </w:r>
          </w:p>
        </w:tc>
        <w:tc>
          <w:tcPr>
            <w:tcW w:w="2410" w:type="dxa"/>
            <w:shd w:val="clear" w:color="auto" w:fill="FFFFFF" w:themeFill="background1"/>
          </w:tcPr>
          <w:p w14:paraId="6A635CBD"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2018</w:t>
            </w:r>
          </w:p>
        </w:tc>
        <w:tc>
          <w:tcPr>
            <w:tcW w:w="2410" w:type="dxa"/>
            <w:shd w:val="clear" w:color="auto" w:fill="FFFFFF" w:themeFill="background1"/>
          </w:tcPr>
          <w:p w14:paraId="4F6665AF" w14:textId="5DE5CFFD"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2019 – awaiting official results for p8</w:t>
            </w:r>
          </w:p>
        </w:tc>
      </w:tr>
      <w:tr w:rsidR="001C2E09" w:rsidRPr="00C8471A" w14:paraId="3230719D" w14:textId="2657B92D" w:rsidTr="001C2E09">
        <w:tc>
          <w:tcPr>
            <w:tcW w:w="3227" w:type="dxa"/>
          </w:tcPr>
          <w:p w14:paraId="1D49EFA4"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SEND Count</w:t>
            </w:r>
          </w:p>
        </w:tc>
        <w:tc>
          <w:tcPr>
            <w:tcW w:w="2409" w:type="dxa"/>
          </w:tcPr>
          <w:p w14:paraId="387B1629"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10</w:t>
            </w:r>
          </w:p>
        </w:tc>
        <w:tc>
          <w:tcPr>
            <w:tcW w:w="2410" w:type="dxa"/>
          </w:tcPr>
          <w:p w14:paraId="650DEEFB"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36</w:t>
            </w:r>
          </w:p>
        </w:tc>
        <w:tc>
          <w:tcPr>
            <w:tcW w:w="2410" w:type="dxa"/>
            <w:shd w:val="clear" w:color="auto" w:fill="FFFFFF" w:themeFill="background1"/>
          </w:tcPr>
          <w:p w14:paraId="629611A9"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29</w:t>
            </w:r>
          </w:p>
        </w:tc>
        <w:tc>
          <w:tcPr>
            <w:tcW w:w="2410" w:type="dxa"/>
            <w:shd w:val="clear" w:color="auto" w:fill="FFFFFF" w:themeFill="background1"/>
          </w:tcPr>
          <w:p w14:paraId="0E67BB95" w14:textId="7F821B7A"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24</w:t>
            </w:r>
          </w:p>
        </w:tc>
      </w:tr>
      <w:tr w:rsidR="001C2E09" w:rsidRPr="00C8471A" w14:paraId="23CD195D" w14:textId="3C93FA80" w:rsidTr="001C2E09">
        <w:tc>
          <w:tcPr>
            <w:tcW w:w="3227" w:type="dxa"/>
          </w:tcPr>
          <w:p w14:paraId="0783591F"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All SEND P8</w:t>
            </w:r>
          </w:p>
        </w:tc>
        <w:tc>
          <w:tcPr>
            <w:tcW w:w="2409" w:type="dxa"/>
          </w:tcPr>
          <w:p w14:paraId="54FEBFDF"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-0.71</w:t>
            </w:r>
          </w:p>
        </w:tc>
        <w:tc>
          <w:tcPr>
            <w:tcW w:w="2410" w:type="dxa"/>
          </w:tcPr>
          <w:p w14:paraId="4C139E09"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-0.62</w:t>
            </w:r>
          </w:p>
        </w:tc>
        <w:tc>
          <w:tcPr>
            <w:tcW w:w="2410" w:type="dxa"/>
            <w:shd w:val="clear" w:color="auto" w:fill="FFFFFF" w:themeFill="background1"/>
          </w:tcPr>
          <w:p w14:paraId="27A298D0"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-0.33</w:t>
            </w:r>
          </w:p>
        </w:tc>
        <w:tc>
          <w:tcPr>
            <w:tcW w:w="2410" w:type="dxa"/>
            <w:shd w:val="clear" w:color="auto" w:fill="FFFFFF" w:themeFill="background1"/>
          </w:tcPr>
          <w:p w14:paraId="13FDE342" w14:textId="77777777" w:rsidR="001C2E09" w:rsidRPr="00C8471A" w:rsidRDefault="001C2E09" w:rsidP="00C8471A">
            <w:pPr>
              <w:pStyle w:val="NoSpacing"/>
              <w:rPr>
                <w:rFonts w:eastAsia="Times New Roman" w:cs="Arial"/>
                <w:bdr w:val="none" w:sz="0" w:space="0" w:color="auto"/>
                <w:lang w:val="en-GB"/>
              </w:rPr>
            </w:pPr>
          </w:p>
        </w:tc>
      </w:tr>
      <w:tr w:rsidR="001C2E09" w:rsidRPr="00C8471A" w14:paraId="1653BB5D" w14:textId="0E041DE4" w:rsidTr="001C2E09">
        <w:tc>
          <w:tcPr>
            <w:tcW w:w="3227" w:type="dxa"/>
          </w:tcPr>
          <w:p w14:paraId="0E52C84D"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SEND Support P8</w:t>
            </w:r>
          </w:p>
        </w:tc>
        <w:tc>
          <w:tcPr>
            <w:tcW w:w="2409" w:type="dxa"/>
          </w:tcPr>
          <w:p w14:paraId="18DAD857"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-0.34</w:t>
            </w:r>
          </w:p>
        </w:tc>
        <w:tc>
          <w:tcPr>
            <w:tcW w:w="2410" w:type="dxa"/>
          </w:tcPr>
          <w:p w14:paraId="1EAA3515"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-0.62</w:t>
            </w:r>
          </w:p>
        </w:tc>
        <w:tc>
          <w:tcPr>
            <w:tcW w:w="2410" w:type="dxa"/>
            <w:shd w:val="clear" w:color="auto" w:fill="FFFFFF" w:themeFill="background1"/>
          </w:tcPr>
          <w:p w14:paraId="02C3384E" w14:textId="77777777" w:rsidR="001C2E09" w:rsidRPr="00C8471A" w:rsidRDefault="001C2E09" w:rsidP="00C8471A">
            <w:pPr>
              <w:pStyle w:val="NoSpacing"/>
              <w:rPr>
                <w:rFonts w:eastAsia="Times New Roman" w:cs="Arial"/>
                <w:color w:val="000000"/>
                <w:bdr w:val="none" w:sz="0" w:space="0" w:color="auto"/>
                <w:lang w:val="en-GB"/>
              </w:rPr>
            </w:pPr>
            <w:r w:rsidRPr="00C8471A">
              <w:rPr>
                <w:rFonts w:eastAsia="Times New Roman" w:cs="Arial"/>
                <w:color w:val="000000"/>
                <w:bdr w:val="none" w:sz="0" w:space="0" w:color="auto"/>
                <w:lang w:val="en-GB"/>
              </w:rPr>
              <w:t>-0.30</w:t>
            </w:r>
          </w:p>
        </w:tc>
        <w:tc>
          <w:tcPr>
            <w:tcW w:w="2410" w:type="dxa"/>
            <w:shd w:val="clear" w:color="auto" w:fill="FFFFFF" w:themeFill="background1"/>
          </w:tcPr>
          <w:p w14:paraId="4EFB6F2C" w14:textId="77777777" w:rsidR="001C2E09" w:rsidRPr="00C8471A" w:rsidRDefault="001C2E09" w:rsidP="00C8471A">
            <w:pPr>
              <w:pStyle w:val="NoSpacing"/>
              <w:rPr>
                <w:rFonts w:eastAsia="Times New Roman" w:cs="Arial"/>
                <w:color w:val="000000"/>
                <w:bdr w:val="none" w:sz="0" w:space="0" w:color="auto"/>
                <w:lang w:val="en-GB"/>
              </w:rPr>
            </w:pPr>
          </w:p>
        </w:tc>
      </w:tr>
      <w:tr w:rsidR="001C2E09" w:rsidRPr="00C8471A" w14:paraId="404C3161" w14:textId="1EE4BF6E" w:rsidTr="001C2E09">
        <w:tc>
          <w:tcPr>
            <w:tcW w:w="3227" w:type="dxa"/>
          </w:tcPr>
          <w:p w14:paraId="2547AD04"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EHCP/statement P8</w:t>
            </w:r>
          </w:p>
        </w:tc>
        <w:tc>
          <w:tcPr>
            <w:tcW w:w="2409" w:type="dxa"/>
          </w:tcPr>
          <w:p w14:paraId="49C52ED8"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-0.72</w:t>
            </w:r>
          </w:p>
        </w:tc>
        <w:tc>
          <w:tcPr>
            <w:tcW w:w="2410" w:type="dxa"/>
          </w:tcPr>
          <w:p w14:paraId="2CA2FDBF"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-0.49</w:t>
            </w:r>
          </w:p>
        </w:tc>
        <w:tc>
          <w:tcPr>
            <w:tcW w:w="2410" w:type="dxa"/>
            <w:shd w:val="clear" w:color="auto" w:fill="FFFFFF" w:themeFill="background1"/>
          </w:tcPr>
          <w:p w14:paraId="03ED43BC"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-0.78</w:t>
            </w:r>
          </w:p>
        </w:tc>
        <w:tc>
          <w:tcPr>
            <w:tcW w:w="2410" w:type="dxa"/>
            <w:shd w:val="clear" w:color="auto" w:fill="FFFFFF" w:themeFill="background1"/>
          </w:tcPr>
          <w:p w14:paraId="4890ADA3" w14:textId="77777777" w:rsidR="001C2E09" w:rsidRPr="00C8471A" w:rsidRDefault="001C2E09" w:rsidP="00C8471A">
            <w:pPr>
              <w:pStyle w:val="NoSpacing"/>
              <w:rPr>
                <w:rFonts w:eastAsia="Times New Roman" w:cs="Arial"/>
                <w:bdr w:val="none" w:sz="0" w:space="0" w:color="auto"/>
                <w:lang w:val="en-GB"/>
              </w:rPr>
            </w:pPr>
          </w:p>
        </w:tc>
      </w:tr>
      <w:tr w:rsidR="001C2E09" w:rsidRPr="00C8471A" w14:paraId="7FF5410B" w14:textId="71621569" w:rsidTr="001C2E09">
        <w:tc>
          <w:tcPr>
            <w:tcW w:w="3227" w:type="dxa"/>
          </w:tcPr>
          <w:p w14:paraId="460F24EA"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Non-SEND P8</w:t>
            </w:r>
          </w:p>
        </w:tc>
        <w:tc>
          <w:tcPr>
            <w:tcW w:w="2409" w:type="dxa"/>
          </w:tcPr>
          <w:p w14:paraId="4E07F435"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0.10</w:t>
            </w:r>
          </w:p>
        </w:tc>
        <w:tc>
          <w:tcPr>
            <w:tcW w:w="2410" w:type="dxa"/>
          </w:tcPr>
          <w:p w14:paraId="22306EDF"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-0.27</w:t>
            </w:r>
          </w:p>
        </w:tc>
        <w:tc>
          <w:tcPr>
            <w:tcW w:w="2410" w:type="dxa"/>
            <w:shd w:val="clear" w:color="auto" w:fill="FFFFFF" w:themeFill="background1"/>
          </w:tcPr>
          <w:p w14:paraId="371A1DC8" w14:textId="77777777" w:rsidR="001C2E09" w:rsidRPr="00C8471A" w:rsidRDefault="001C2E09" w:rsidP="00C8471A">
            <w:pPr>
              <w:pStyle w:val="NoSpacing"/>
              <w:rPr>
                <w:rFonts w:eastAsia="Times New Roman" w:cs="Arial"/>
                <w:color w:val="000000"/>
                <w:bdr w:val="none" w:sz="0" w:space="0" w:color="auto"/>
                <w:lang w:val="en-GB"/>
              </w:rPr>
            </w:pPr>
            <w:r w:rsidRPr="00C8471A">
              <w:rPr>
                <w:rFonts w:eastAsia="Times New Roman" w:cs="Arial"/>
                <w:color w:val="000000"/>
                <w:bdr w:val="none" w:sz="0" w:space="0" w:color="auto"/>
                <w:lang w:val="en-GB"/>
              </w:rPr>
              <w:t>0.38</w:t>
            </w:r>
          </w:p>
        </w:tc>
        <w:tc>
          <w:tcPr>
            <w:tcW w:w="2410" w:type="dxa"/>
            <w:shd w:val="clear" w:color="auto" w:fill="FFFFFF" w:themeFill="background1"/>
          </w:tcPr>
          <w:p w14:paraId="5ADC5D1F" w14:textId="77777777" w:rsidR="001C2E09" w:rsidRPr="00C8471A" w:rsidRDefault="001C2E09" w:rsidP="00C8471A">
            <w:pPr>
              <w:pStyle w:val="NoSpacing"/>
              <w:rPr>
                <w:rFonts w:eastAsia="Times New Roman" w:cs="Arial"/>
                <w:color w:val="000000"/>
                <w:bdr w:val="none" w:sz="0" w:space="0" w:color="auto"/>
                <w:lang w:val="en-GB"/>
              </w:rPr>
            </w:pPr>
          </w:p>
        </w:tc>
      </w:tr>
      <w:tr w:rsidR="001C2E09" w:rsidRPr="00C8471A" w14:paraId="0E9565B4" w14:textId="52ED5164" w:rsidTr="001C2E09">
        <w:tc>
          <w:tcPr>
            <w:tcW w:w="3227" w:type="dxa"/>
          </w:tcPr>
          <w:p w14:paraId="7ECD3675"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All SEND P8 English</w:t>
            </w:r>
          </w:p>
        </w:tc>
        <w:tc>
          <w:tcPr>
            <w:tcW w:w="2409" w:type="dxa"/>
          </w:tcPr>
          <w:p w14:paraId="21AF2343"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-0.10</w:t>
            </w:r>
          </w:p>
        </w:tc>
        <w:tc>
          <w:tcPr>
            <w:tcW w:w="2410" w:type="dxa"/>
          </w:tcPr>
          <w:p w14:paraId="56E88573"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-0.39</w:t>
            </w:r>
          </w:p>
        </w:tc>
        <w:tc>
          <w:tcPr>
            <w:tcW w:w="2410" w:type="dxa"/>
            <w:shd w:val="clear" w:color="auto" w:fill="FFFFFF" w:themeFill="background1"/>
          </w:tcPr>
          <w:p w14:paraId="31546AE3" w14:textId="77777777" w:rsidR="001C2E09" w:rsidRPr="00C8471A" w:rsidRDefault="001C2E09" w:rsidP="00C8471A">
            <w:pPr>
              <w:pStyle w:val="NoSpacing"/>
              <w:rPr>
                <w:rFonts w:eastAsia="Times New Roman" w:cs="Arial"/>
                <w:color w:val="000000"/>
                <w:bdr w:val="none" w:sz="0" w:space="0" w:color="auto"/>
                <w:lang w:val="en-GB"/>
              </w:rPr>
            </w:pPr>
            <w:r w:rsidRPr="00C8471A">
              <w:rPr>
                <w:rFonts w:eastAsia="Times New Roman" w:cs="Arial"/>
                <w:color w:val="000000"/>
                <w:bdr w:val="none" w:sz="0" w:space="0" w:color="auto"/>
                <w:lang w:val="en-GB"/>
              </w:rPr>
              <w:t>-0.36</w:t>
            </w:r>
          </w:p>
        </w:tc>
        <w:tc>
          <w:tcPr>
            <w:tcW w:w="2410" w:type="dxa"/>
            <w:shd w:val="clear" w:color="auto" w:fill="FFFFFF" w:themeFill="background1"/>
          </w:tcPr>
          <w:p w14:paraId="75584F14" w14:textId="77777777" w:rsidR="001C2E09" w:rsidRPr="00C8471A" w:rsidRDefault="001C2E09" w:rsidP="00C8471A">
            <w:pPr>
              <w:pStyle w:val="NoSpacing"/>
              <w:rPr>
                <w:rFonts w:eastAsia="Times New Roman" w:cs="Arial"/>
                <w:color w:val="000000"/>
                <w:bdr w:val="none" w:sz="0" w:space="0" w:color="auto"/>
                <w:lang w:val="en-GB"/>
              </w:rPr>
            </w:pPr>
          </w:p>
        </w:tc>
      </w:tr>
      <w:tr w:rsidR="001C2E09" w:rsidRPr="00C8471A" w14:paraId="3026367B" w14:textId="57DEA5BB" w:rsidTr="001C2E09">
        <w:tc>
          <w:tcPr>
            <w:tcW w:w="3227" w:type="dxa"/>
          </w:tcPr>
          <w:p w14:paraId="146B58B3"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All SEND P8 Maths</w:t>
            </w:r>
          </w:p>
        </w:tc>
        <w:tc>
          <w:tcPr>
            <w:tcW w:w="2409" w:type="dxa"/>
          </w:tcPr>
          <w:p w14:paraId="7536883E"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-1.15</w:t>
            </w:r>
          </w:p>
        </w:tc>
        <w:tc>
          <w:tcPr>
            <w:tcW w:w="2410" w:type="dxa"/>
          </w:tcPr>
          <w:p w14:paraId="48159BB9"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-0.62</w:t>
            </w:r>
          </w:p>
        </w:tc>
        <w:tc>
          <w:tcPr>
            <w:tcW w:w="2410" w:type="dxa"/>
            <w:shd w:val="clear" w:color="auto" w:fill="FFFFFF" w:themeFill="background1"/>
          </w:tcPr>
          <w:p w14:paraId="0003E2F3"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-0.46</w:t>
            </w:r>
          </w:p>
        </w:tc>
        <w:tc>
          <w:tcPr>
            <w:tcW w:w="2410" w:type="dxa"/>
            <w:shd w:val="clear" w:color="auto" w:fill="FFFFFF" w:themeFill="background1"/>
          </w:tcPr>
          <w:p w14:paraId="1388CD54" w14:textId="77777777" w:rsidR="001C2E09" w:rsidRPr="00C8471A" w:rsidRDefault="001C2E09" w:rsidP="00C8471A">
            <w:pPr>
              <w:pStyle w:val="NoSpacing"/>
              <w:rPr>
                <w:rFonts w:eastAsia="Times New Roman" w:cs="Arial"/>
                <w:bdr w:val="none" w:sz="0" w:space="0" w:color="auto"/>
                <w:lang w:val="en-GB"/>
              </w:rPr>
            </w:pPr>
          </w:p>
        </w:tc>
      </w:tr>
      <w:tr w:rsidR="001C2E09" w:rsidRPr="00C8471A" w14:paraId="70B5DFB3" w14:textId="0239D38E" w:rsidTr="001C2E09">
        <w:tc>
          <w:tcPr>
            <w:tcW w:w="3227" w:type="dxa"/>
          </w:tcPr>
          <w:p w14:paraId="4504DAFC"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SEND Support P8 English</w:t>
            </w:r>
          </w:p>
        </w:tc>
        <w:tc>
          <w:tcPr>
            <w:tcW w:w="2409" w:type="dxa"/>
          </w:tcPr>
          <w:p w14:paraId="6651D617"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0.76</w:t>
            </w:r>
          </w:p>
        </w:tc>
        <w:tc>
          <w:tcPr>
            <w:tcW w:w="2410" w:type="dxa"/>
          </w:tcPr>
          <w:p w14:paraId="6C8F1F19"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-0.35</w:t>
            </w:r>
          </w:p>
        </w:tc>
        <w:tc>
          <w:tcPr>
            <w:tcW w:w="2410" w:type="dxa"/>
            <w:shd w:val="clear" w:color="auto" w:fill="FFFFFF" w:themeFill="background1"/>
          </w:tcPr>
          <w:p w14:paraId="49A8EDC1" w14:textId="77777777" w:rsidR="001C2E09" w:rsidRPr="00C8471A" w:rsidRDefault="001C2E09" w:rsidP="00C8471A">
            <w:pPr>
              <w:pStyle w:val="NoSpacing"/>
              <w:rPr>
                <w:rFonts w:eastAsia="Times New Roman" w:cs="Arial"/>
                <w:color w:val="000000"/>
                <w:bdr w:val="none" w:sz="0" w:space="0" w:color="auto"/>
                <w:lang w:val="en-GB"/>
              </w:rPr>
            </w:pPr>
            <w:r w:rsidRPr="00C8471A">
              <w:rPr>
                <w:rFonts w:eastAsia="Times New Roman" w:cs="Arial"/>
                <w:color w:val="000000"/>
                <w:bdr w:val="none" w:sz="0" w:space="0" w:color="auto"/>
                <w:lang w:val="en-GB"/>
              </w:rPr>
              <w:t>-0.33</w:t>
            </w:r>
          </w:p>
        </w:tc>
        <w:tc>
          <w:tcPr>
            <w:tcW w:w="2410" w:type="dxa"/>
            <w:shd w:val="clear" w:color="auto" w:fill="FFFFFF" w:themeFill="background1"/>
          </w:tcPr>
          <w:p w14:paraId="7F759F5C" w14:textId="77777777" w:rsidR="001C2E09" w:rsidRPr="00C8471A" w:rsidRDefault="001C2E09" w:rsidP="00C8471A">
            <w:pPr>
              <w:pStyle w:val="NoSpacing"/>
              <w:rPr>
                <w:rFonts w:eastAsia="Times New Roman" w:cs="Arial"/>
                <w:color w:val="000000"/>
                <w:bdr w:val="none" w:sz="0" w:space="0" w:color="auto"/>
                <w:lang w:val="en-GB"/>
              </w:rPr>
            </w:pPr>
          </w:p>
        </w:tc>
      </w:tr>
      <w:tr w:rsidR="001C2E09" w:rsidRPr="00C8471A" w14:paraId="174D2A0A" w14:textId="5E6F9624" w:rsidTr="001C2E09">
        <w:tc>
          <w:tcPr>
            <w:tcW w:w="3227" w:type="dxa"/>
          </w:tcPr>
          <w:p w14:paraId="0C53C706"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SEND Support P8 Maths</w:t>
            </w:r>
          </w:p>
        </w:tc>
        <w:tc>
          <w:tcPr>
            <w:tcW w:w="2409" w:type="dxa"/>
          </w:tcPr>
          <w:p w14:paraId="0506E15D"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-1.08</w:t>
            </w:r>
          </w:p>
        </w:tc>
        <w:tc>
          <w:tcPr>
            <w:tcW w:w="2410" w:type="dxa"/>
          </w:tcPr>
          <w:p w14:paraId="74005864"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-0.58</w:t>
            </w:r>
          </w:p>
        </w:tc>
        <w:tc>
          <w:tcPr>
            <w:tcW w:w="2410" w:type="dxa"/>
            <w:shd w:val="clear" w:color="auto" w:fill="FFFFFF" w:themeFill="background1"/>
          </w:tcPr>
          <w:p w14:paraId="4C4BE997" w14:textId="77777777" w:rsidR="001C2E09" w:rsidRPr="00C8471A" w:rsidRDefault="001C2E09" w:rsidP="00C8471A">
            <w:pPr>
              <w:pStyle w:val="NoSpacing"/>
              <w:rPr>
                <w:rFonts w:eastAsia="Times New Roman" w:cs="Arial"/>
                <w:color w:val="000000"/>
                <w:bdr w:val="none" w:sz="0" w:space="0" w:color="auto"/>
                <w:lang w:val="en-GB"/>
              </w:rPr>
            </w:pPr>
            <w:r w:rsidRPr="00C8471A">
              <w:rPr>
                <w:rFonts w:eastAsia="Times New Roman" w:cs="Arial"/>
                <w:color w:val="000000"/>
                <w:bdr w:val="none" w:sz="0" w:space="0" w:color="auto"/>
                <w:lang w:val="en-GB"/>
              </w:rPr>
              <w:t>-0.43</w:t>
            </w:r>
          </w:p>
        </w:tc>
        <w:tc>
          <w:tcPr>
            <w:tcW w:w="2410" w:type="dxa"/>
            <w:shd w:val="clear" w:color="auto" w:fill="FFFFFF" w:themeFill="background1"/>
          </w:tcPr>
          <w:p w14:paraId="79DFCE72" w14:textId="77777777" w:rsidR="001C2E09" w:rsidRPr="00C8471A" w:rsidRDefault="001C2E09" w:rsidP="00C8471A">
            <w:pPr>
              <w:pStyle w:val="NoSpacing"/>
              <w:rPr>
                <w:rFonts w:eastAsia="Times New Roman" w:cs="Arial"/>
                <w:color w:val="000000"/>
                <w:bdr w:val="none" w:sz="0" w:space="0" w:color="auto"/>
                <w:lang w:val="en-GB"/>
              </w:rPr>
            </w:pPr>
          </w:p>
        </w:tc>
      </w:tr>
      <w:tr w:rsidR="001C2E09" w:rsidRPr="00C8471A" w14:paraId="572515E2" w14:textId="19FFF6C9" w:rsidTr="001C2E09">
        <w:tc>
          <w:tcPr>
            <w:tcW w:w="3227" w:type="dxa"/>
          </w:tcPr>
          <w:p w14:paraId="06526F7E"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EHCP/statement P8 English</w:t>
            </w:r>
          </w:p>
        </w:tc>
        <w:tc>
          <w:tcPr>
            <w:tcW w:w="2409" w:type="dxa"/>
          </w:tcPr>
          <w:p w14:paraId="238BEE8C"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-0.45</w:t>
            </w:r>
          </w:p>
        </w:tc>
        <w:tc>
          <w:tcPr>
            <w:tcW w:w="2410" w:type="dxa"/>
          </w:tcPr>
          <w:p w14:paraId="4A4B260F"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-0.71</w:t>
            </w:r>
          </w:p>
        </w:tc>
        <w:tc>
          <w:tcPr>
            <w:tcW w:w="2410" w:type="dxa"/>
            <w:shd w:val="clear" w:color="auto" w:fill="FFFFFF" w:themeFill="background1"/>
          </w:tcPr>
          <w:p w14:paraId="3FFFE5F1" w14:textId="77777777" w:rsidR="001C2E09" w:rsidRPr="00C8471A" w:rsidRDefault="001C2E09" w:rsidP="00C8471A">
            <w:pPr>
              <w:pStyle w:val="NoSpacing"/>
              <w:rPr>
                <w:rFonts w:eastAsia="Times New Roman" w:cs="Arial"/>
                <w:color w:val="000000"/>
                <w:bdr w:val="none" w:sz="0" w:space="0" w:color="auto"/>
                <w:lang w:val="en-GB"/>
              </w:rPr>
            </w:pPr>
            <w:r w:rsidRPr="00C8471A">
              <w:rPr>
                <w:rFonts w:eastAsia="Times New Roman" w:cs="Arial"/>
                <w:color w:val="000000"/>
                <w:bdr w:val="none" w:sz="0" w:space="0" w:color="auto"/>
                <w:lang w:val="en-GB"/>
              </w:rPr>
              <w:t>-0.93</w:t>
            </w:r>
          </w:p>
        </w:tc>
        <w:tc>
          <w:tcPr>
            <w:tcW w:w="2410" w:type="dxa"/>
            <w:shd w:val="clear" w:color="auto" w:fill="FFFFFF" w:themeFill="background1"/>
          </w:tcPr>
          <w:p w14:paraId="0BAB2ACE" w14:textId="77777777" w:rsidR="001C2E09" w:rsidRPr="00C8471A" w:rsidRDefault="001C2E09" w:rsidP="00C8471A">
            <w:pPr>
              <w:pStyle w:val="NoSpacing"/>
              <w:rPr>
                <w:rFonts w:eastAsia="Times New Roman" w:cs="Arial"/>
                <w:color w:val="000000"/>
                <w:bdr w:val="none" w:sz="0" w:space="0" w:color="auto"/>
                <w:lang w:val="en-GB"/>
              </w:rPr>
            </w:pPr>
          </w:p>
        </w:tc>
      </w:tr>
      <w:tr w:rsidR="001C2E09" w:rsidRPr="00C8471A" w14:paraId="51B93BB1" w14:textId="4095D3A3" w:rsidTr="001C2E09">
        <w:tc>
          <w:tcPr>
            <w:tcW w:w="3227" w:type="dxa"/>
          </w:tcPr>
          <w:p w14:paraId="44C555F2"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EHCP/statement P8 Maths</w:t>
            </w:r>
          </w:p>
        </w:tc>
        <w:tc>
          <w:tcPr>
            <w:tcW w:w="2409" w:type="dxa"/>
          </w:tcPr>
          <w:p w14:paraId="617EEC65"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-1.26</w:t>
            </w:r>
          </w:p>
        </w:tc>
        <w:tc>
          <w:tcPr>
            <w:tcW w:w="2410" w:type="dxa"/>
          </w:tcPr>
          <w:p w14:paraId="5D3FC378"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-0.84</w:t>
            </w:r>
          </w:p>
        </w:tc>
        <w:tc>
          <w:tcPr>
            <w:tcW w:w="2410" w:type="dxa"/>
            <w:shd w:val="clear" w:color="auto" w:fill="FFFFFF" w:themeFill="background1"/>
          </w:tcPr>
          <w:p w14:paraId="723AB832"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-1.09</w:t>
            </w:r>
          </w:p>
        </w:tc>
        <w:tc>
          <w:tcPr>
            <w:tcW w:w="2410" w:type="dxa"/>
            <w:shd w:val="clear" w:color="auto" w:fill="FFFFFF" w:themeFill="background1"/>
          </w:tcPr>
          <w:p w14:paraId="4EE4F3E6" w14:textId="77777777" w:rsidR="001C2E09" w:rsidRPr="00C8471A" w:rsidRDefault="001C2E09" w:rsidP="00C8471A">
            <w:pPr>
              <w:pStyle w:val="NoSpacing"/>
              <w:rPr>
                <w:rFonts w:eastAsia="Times New Roman" w:cs="Arial"/>
                <w:bdr w:val="none" w:sz="0" w:space="0" w:color="auto"/>
                <w:lang w:val="en-GB"/>
              </w:rPr>
            </w:pPr>
          </w:p>
        </w:tc>
      </w:tr>
      <w:tr w:rsidR="001C2E09" w:rsidRPr="00C8471A" w14:paraId="0BADBEB5" w14:textId="406D96AC" w:rsidTr="001C2E09">
        <w:tc>
          <w:tcPr>
            <w:tcW w:w="3227" w:type="dxa"/>
          </w:tcPr>
          <w:p w14:paraId="4A33D3EF"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Non-SEND English P8</w:t>
            </w:r>
          </w:p>
        </w:tc>
        <w:tc>
          <w:tcPr>
            <w:tcW w:w="2409" w:type="dxa"/>
          </w:tcPr>
          <w:p w14:paraId="41566179"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0.25</w:t>
            </w:r>
          </w:p>
        </w:tc>
        <w:tc>
          <w:tcPr>
            <w:tcW w:w="2410" w:type="dxa"/>
          </w:tcPr>
          <w:p w14:paraId="29E63D25"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-0.37</w:t>
            </w:r>
          </w:p>
        </w:tc>
        <w:tc>
          <w:tcPr>
            <w:tcW w:w="2410" w:type="dxa"/>
            <w:shd w:val="clear" w:color="auto" w:fill="FFFFFF" w:themeFill="background1"/>
          </w:tcPr>
          <w:p w14:paraId="00C47449" w14:textId="77777777" w:rsidR="001C2E09" w:rsidRPr="00C8471A" w:rsidRDefault="001C2E09" w:rsidP="00C8471A">
            <w:pPr>
              <w:pStyle w:val="NoSpacing"/>
              <w:rPr>
                <w:rFonts w:eastAsia="Times New Roman" w:cs="Arial"/>
                <w:color w:val="000000"/>
                <w:bdr w:val="none" w:sz="0" w:space="0" w:color="auto"/>
                <w:lang w:val="en-GB"/>
              </w:rPr>
            </w:pPr>
            <w:r w:rsidRPr="00C8471A">
              <w:rPr>
                <w:rFonts w:eastAsia="Times New Roman" w:cs="Arial"/>
                <w:color w:val="000000"/>
                <w:bdr w:val="none" w:sz="0" w:space="0" w:color="auto"/>
                <w:lang w:val="en-GB"/>
              </w:rPr>
              <w:t>0.00</w:t>
            </w:r>
          </w:p>
        </w:tc>
        <w:tc>
          <w:tcPr>
            <w:tcW w:w="2410" w:type="dxa"/>
            <w:shd w:val="clear" w:color="auto" w:fill="FFFFFF" w:themeFill="background1"/>
          </w:tcPr>
          <w:p w14:paraId="473A0F56" w14:textId="77777777" w:rsidR="001C2E09" w:rsidRPr="00C8471A" w:rsidRDefault="001C2E09" w:rsidP="00C8471A">
            <w:pPr>
              <w:pStyle w:val="NoSpacing"/>
              <w:rPr>
                <w:rFonts w:eastAsia="Times New Roman" w:cs="Arial"/>
                <w:color w:val="000000"/>
                <w:bdr w:val="none" w:sz="0" w:space="0" w:color="auto"/>
                <w:lang w:val="en-GB"/>
              </w:rPr>
            </w:pPr>
          </w:p>
        </w:tc>
      </w:tr>
      <w:tr w:rsidR="001C2E09" w:rsidRPr="00C8471A" w14:paraId="23290ECF" w14:textId="196B41B1" w:rsidTr="001C2E09">
        <w:tc>
          <w:tcPr>
            <w:tcW w:w="3227" w:type="dxa"/>
          </w:tcPr>
          <w:p w14:paraId="2379E359"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Non-SEND Maths P8</w:t>
            </w:r>
          </w:p>
        </w:tc>
        <w:tc>
          <w:tcPr>
            <w:tcW w:w="2409" w:type="dxa"/>
          </w:tcPr>
          <w:p w14:paraId="16139827"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-0.07</w:t>
            </w:r>
          </w:p>
        </w:tc>
        <w:tc>
          <w:tcPr>
            <w:tcW w:w="2410" w:type="dxa"/>
          </w:tcPr>
          <w:p w14:paraId="08C0BE97"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-0.27</w:t>
            </w:r>
          </w:p>
        </w:tc>
        <w:tc>
          <w:tcPr>
            <w:tcW w:w="2410" w:type="dxa"/>
            <w:shd w:val="clear" w:color="auto" w:fill="FFFFFF" w:themeFill="background1"/>
          </w:tcPr>
          <w:p w14:paraId="655C5B57"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0.09</w:t>
            </w:r>
          </w:p>
        </w:tc>
        <w:tc>
          <w:tcPr>
            <w:tcW w:w="2410" w:type="dxa"/>
            <w:shd w:val="clear" w:color="auto" w:fill="FFFFFF" w:themeFill="background1"/>
          </w:tcPr>
          <w:p w14:paraId="42C3E8E9" w14:textId="77777777" w:rsidR="001C2E09" w:rsidRPr="00C8471A" w:rsidRDefault="001C2E09" w:rsidP="00C8471A">
            <w:pPr>
              <w:pStyle w:val="NoSpacing"/>
              <w:rPr>
                <w:rFonts w:eastAsia="Times New Roman" w:cs="Arial"/>
                <w:bdr w:val="none" w:sz="0" w:space="0" w:color="auto"/>
                <w:lang w:val="en-GB"/>
              </w:rPr>
            </w:pPr>
          </w:p>
        </w:tc>
      </w:tr>
      <w:tr w:rsidR="001C2E09" w:rsidRPr="00C8471A" w14:paraId="2DF40AD7" w14:textId="70CB02AA" w:rsidTr="001C2E09">
        <w:tc>
          <w:tcPr>
            <w:tcW w:w="3227" w:type="dxa"/>
          </w:tcPr>
          <w:p w14:paraId="7929D018"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Gap between all SEND and non-SEND P8</w:t>
            </w:r>
          </w:p>
        </w:tc>
        <w:tc>
          <w:tcPr>
            <w:tcW w:w="2409" w:type="dxa"/>
          </w:tcPr>
          <w:p w14:paraId="54213210"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-0.81</w:t>
            </w:r>
          </w:p>
        </w:tc>
        <w:tc>
          <w:tcPr>
            <w:tcW w:w="2410" w:type="dxa"/>
          </w:tcPr>
          <w:p w14:paraId="188A67B5"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-0.35</w:t>
            </w:r>
          </w:p>
        </w:tc>
        <w:tc>
          <w:tcPr>
            <w:tcW w:w="2410" w:type="dxa"/>
            <w:shd w:val="clear" w:color="auto" w:fill="FFFFFF" w:themeFill="background1"/>
          </w:tcPr>
          <w:p w14:paraId="10B940B5" w14:textId="77777777" w:rsidR="001C2E09" w:rsidRPr="00C8471A" w:rsidRDefault="001C2E09" w:rsidP="00C8471A">
            <w:pPr>
              <w:pStyle w:val="NoSpacing"/>
              <w:rPr>
                <w:rFonts w:eastAsia="Times New Roman" w:cs="Arial"/>
                <w:bdr w:val="none" w:sz="0" w:space="0" w:color="auto"/>
                <w:lang w:val="en-GB"/>
              </w:rPr>
            </w:pPr>
            <w:r w:rsidRPr="00C8471A">
              <w:rPr>
                <w:rFonts w:eastAsia="Times New Roman" w:cs="Arial"/>
                <w:bdr w:val="none" w:sz="0" w:space="0" w:color="auto"/>
                <w:lang w:val="en-GB"/>
              </w:rPr>
              <w:t>-0.71</w:t>
            </w:r>
          </w:p>
        </w:tc>
        <w:tc>
          <w:tcPr>
            <w:tcW w:w="2410" w:type="dxa"/>
            <w:shd w:val="clear" w:color="auto" w:fill="FFFFFF" w:themeFill="background1"/>
          </w:tcPr>
          <w:p w14:paraId="373233A9" w14:textId="77777777" w:rsidR="001C2E09" w:rsidRPr="00C8471A" w:rsidRDefault="001C2E09" w:rsidP="00C8471A">
            <w:pPr>
              <w:pStyle w:val="NoSpacing"/>
              <w:rPr>
                <w:rFonts w:eastAsia="Times New Roman" w:cs="Arial"/>
                <w:bdr w:val="none" w:sz="0" w:space="0" w:color="auto"/>
                <w:lang w:val="en-GB"/>
              </w:rPr>
            </w:pPr>
          </w:p>
        </w:tc>
      </w:tr>
    </w:tbl>
    <w:p w14:paraId="06509E98" w14:textId="77777777" w:rsidR="003A511B" w:rsidRPr="00C8471A" w:rsidRDefault="003A511B" w:rsidP="00C8471A">
      <w:pPr>
        <w:pStyle w:val="NoSpacing"/>
        <w:rPr>
          <w:rFonts w:eastAsia="Times New Roman" w:cs="Arial"/>
          <w:bdr w:val="none" w:sz="0" w:space="0" w:color="auto"/>
          <w:lang w:val="en-GB"/>
        </w:rPr>
      </w:pPr>
    </w:p>
    <w:p w14:paraId="5DE0E171" w14:textId="77777777" w:rsidR="003A511B" w:rsidRPr="00C8471A" w:rsidRDefault="003A511B" w:rsidP="00C8471A">
      <w:pPr>
        <w:pStyle w:val="NoSpacing"/>
        <w:rPr>
          <w:rFonts w:eastAsia="Times New Roman" w:cs="Arial"/>
          <w:bdr w:val="none" w:sz="0" w:space="0" w:color="auto"/>
          <w:lang w:val="en-GB"/>
        </w:rPr>
      </w:pPr>
    </w:p>
    <w:bookmarkEnd w:i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919"/>
        <w:gridCol w:w="2129"/>
        <w:gridCol w:w="2124"/>
        <w:gridCol w:w="2094"/>
        <w:gridCol w:w="2094"/>
        <w:gridCol w:w="2160"/>
      </w:tblGrid>
      <w:tr w:rsidR="003A511B" w:rsidRPr="00C8471A" w14:paraId="62D2ED16" w14:textId="77777777" w:rsidTr="00BE1AAF">
        <w:tc>
          <w:tcPr>
            <w:tcW w:w="2564" w:type="dxa"/>
            <w:shd w:val="clear" w:color="auto" w:fill="auto"/>
          </w:tcPr>
          <w:p w14:paraId="17359D0C" w14:textId="77777777" w:rsidR="003A511B" w:rsidRPr="00C8471A" w:rsidRDefault="003A511B" w:rsidP="00C8471A">
            <w:pPr>
              <w:pStyle w:val="NoSpacing"/>
              <w:rPr>
                <w:rFonts w:eastAsia="Times New Roman" w:cs="Arial"/>
                <w:bdr w:val="none" w:sz="0" w:space="0" w:color="auto"/>
                <w:lang w:val="en-GB" w:eastAsia="en-GB"/>
              </w:rPr>
            </w:pPr>
          </w:p>
        </w:tc>
        <w:tc>
          <w:tcPr>
            <w:tcW w:w="946" w:type="dxa"/>
            <w:shd w:val="clear" w:color="auto" w:fill="auto"/>
          </w:tcPr>
          <w:p w14:paraId="7ED68589"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Count</w:t>
            </w:r>
          </w:p>
        </w:tc>
        <w:tc>
          <w:tcPr>
            <w:tcW w:w="2420" w:type="dxa"/>
            <w:shd w:val="clear" w:color="auto" w:fill="auto"/>
          </w:tcPr>
          <w:p w14:paraId="06CDD11C"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2018 School P8</w:t>
            </w:r>
          </w:p>
        </w:tc>
        <w:tc>
          <w:tcPr>
            <w:tcW w:w="2421" w:type="dxa"/>
            <w:shd w:val="clear" w:color="auto" w:fill="auto"/>
          </w:tcPr>
          <w:p w14:paraId="20DBC7DC"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2017 Dorset P8</w:t>
            </w:r>
          </w:p>
        </w:tc>
        <w:tc>
          <w:tcPr>
            <w:tcW w:w="2421" w:type="dxa"/>
            <w:shd w:val="clear" w:color="auto" w:fill="auto"/>
          </w:tcPr>
          <w:p w14:paraId="2A8F0E9A"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2017 SW P8</w:t>
            </w:r>
          </w:p>
        </w:tc>
        <w:tc>
          <w:tcPr>
            <w:tcW w:w="2421" w:type="dxa"/>
            <w:shd w:val="clear" w:color="auto" w:fill="auto"/>
          </w:tcPr>
          <w:p w14:paraId="4D2FEEF4"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2017 SN avg P8</w:t>
            </w:r>
          </w:p>
        </w:tc>
        <w:tc>
          <w:tcPr>
            <w:tcW w:w="2421" w:type="dxa"/>
            <w:shd w:val="clear" w:color="auto" w:fill="auto"/>
          </w:tcPr>
          <w:p w14:paraId="42EEEBA5"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2017 National</w:t>
            </w:r>
          </w:p>
        </w:tc>
      </w:tr>
      <w:tr w:rsidR="003A511B" w:rsidRPr="00C8471A" w14:paraId="7581FB91" w14:textId="77777777" w:rsidTr="00BE1AAF">
        <w:tc>
          <w:tcPr>
            <w:tcW w:w="2564" w:type="dxa"/>
            <w:shd w:val="clear" w:color="auto" w:fill="auto"/>
          </w:tcPr>
          <w:p w14:paraId="50DE3E28"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School Support P8</w:t>
            </w:r>
          </w:p>
        </w:tc>
        <w:tc>
          <w:tcPr>
            <w:tcW w:w="946" w:type="dxa"/>
            <w:shd w:val="clear" w:color="auto" w:fill="auto"/>
          </w:tcPr>
          <w:p w14:paraId="79036436"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28</w:t>
            </w:r>
          </w:p>
        </w:tc>
        <w:tc>
          <w:tcPr>
            <w:tcW w:w="2420" w:type="dxa"/>
            <w:shd w:val="clear" w:color="auto" w:fill="auto"/>
          </w:tcPr>
          <w:p w14:paraId="12286A19"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-0.30</w:t>
            </w:r>
          </w:p>
        </w:tc>
        <w:tc>
          <w:tcPr>
            <w:tcW w:w="2421" w:type="dxa"/>
            <w:shd w:val="clear" w:color="auto" w:fill="auto"/>
          </w:tcPr>
          <w:p w14:paraId="337B0BF0"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-0.34</w:t>
            </w:r>
          </w:p>
        </w:tc>
        <w:tc>
          <w:tcPr>
            <w:tcW w:w="2421" w:type="dxa"/>
            <w:shd w:val="clear" w:color="auto" w:fill="auto"/>
          </w:tcPr>
          <w:p w14:paraId="1285BB46"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-0.54</w:t>
            </w:r>
          </w:p>
        </w:tc>
        <w:tc>
          <w:tcPr>
            <w:tcW w:w="2421" w:type="dxa"/>
            <w:shd w:val="clear" w:color="auto" w:fill="auto"/>
          </w:tcPr>
          <w:p w14:paraId="2F6E320A"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-0.58</w:t>
            </w:r>
          </w:p>
        </w:tc>
        <w:tc>
          <w:tcPr>
            <w:tcW w:w="2421" w:type="dxa"/>
            <w:shd w:val="clear" w:color="auto" w:fill="auto"/>
          </w:tcPr>
          <w:p w14:paraId="318279A8"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-0.43</w:t>
            </w:r>
          </w:p>
        </w:tc>
      </w:tr>
      <w:tr w:rsidR="003A511B" w:rsidRPr="00C8471A" w14:paraId="278B3CF1" w14:textId="77777777" w:rsidTr="00BE1AAF">
        <w:tc>
          <w:tcPr>
            <w:tcW w:w="2564" w:type="dxa"/>
            <w:shd w:val="clear" w:color="auto" w:fill="auto"/>
          </w:tcPr>
          <w:p w14:paraId="169CEC34"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EHCP/Statement P8</w:t>
            </w:r>
          </w:p>
        </w:tc>
        <w:tc>
          <w:tcPr>
            <w:tcW w:w="946" w:type="dxa"/>
            <w:shd w:val="clear" w:color="auto" w:fill="auto"/>
          </w:tcPr>
          <w:p w14:paraId="1D1E4A8E"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1</w:t>
            </w:r>
          </w:p>
        </w:tc>
        <w:tc>
          <w:tcPr>
            <w:tcW w:w="2420" w:type="dxa"/>
            <w:shd w:val="clear" w:color="auto" w:fill="auto"/>
          </w:tcPr>
          <w:p w14:paraId="2E1EDDE3"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-0.78</w:t>
            </w:r>
          </w:p>
        </w:tc>
        <w:tc>
          <w:tcPr>
            <w:tcW w:w="2421" w:type="dxa"/>
            <w:shd w:val="clear" w:color="auto" w:fill="auto"/>
          </w:tcPr>
          <w:p w14:paraId="71331F0F"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-0.90</w:t>
            </w:r>
          </w:p>
        </w:tc>
        <w:tc>
          <w:tcPr>
            <w:tcW w:w="2421" w:type="dxa"/>
            <w:shd w:val="clear" w:color="auto" w:fill="auto"/>
          </w:tcPr>
          <w:p w14:paraId="513B7B3C"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-1.10</w:t>
            </w:r>
          </w:p>
        </w:tc>
        <w:tc>
          <w:tcPr>
            <w:tcW w:w="2421" w:type="dxa"/>
            <w:shd w:val="clear" w:color="auto" w:fill="auto"/>
          </w:tcPr>
          <w:p w14:paraId="71F37F24"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-1.13</w:t>
            </w:r>
          </w:p>
        </w:tc>
        <w:tc>
          <w:tcPr>
            <w:tcW w:w="2421" w:type="dxa"/>
            <w:shd w:val="clear" w:color="auto" w:fill="auto"/>
          </w:tcPr>
          <w:p w14:paraId="256179D2"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-1.04</w:t>
            </w:r>
          </w:p>
        </w:tc>
      </w:tr>
      <w:tr w:rsidR="003A511B" w:rsidRPr="00C8471A" w14:paraId="75521774" w14:textId="77777777" w:rsidTr="00BE1AAF">
        <w:tc>
          <w:tcPr>
            <w:tcW w:w="2564" w:type="dxa"/>
            <w:shd w:val="clear" w:color="auto" w:fill="auto"/>
          </w:tcPr>
          <w:p w14:paraId="23ADA040"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All SEND P8</w:t>
            </w:r>
          </w:p>
        </w:tc>
        <w:tc>
          <w:tcPr>
            <w:tcW w:w="946" w:type="dxa"/>
            <w:shd w:val="clear" w:color="auto" w:fill="auto"/>
          </w:tcPr>
          <w:p w14:paraId="56E981A7"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29</w:t>
            </w:r>
          </w:p>
        </w:tc>
        <w:tc>
          <w:tcPr>
            <w:tcW w:w="2420" w:type="dxa"/>
            <w:shd w:val="clear" w:color="auto" w:fill="auto"/>
          </w:tcPr>
          <w:p w14:paraId="571FCBAB"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-0.33</w:t>
            </w:r>
          </w:p>
        </w:tc>
        <w:tc>
          <w:tcPr>
            <w:tcW w:w="2421" w:type="dxa"/>
            <w:shd w:val="clear" w:color="auto" w:fill="auto"/>
          </w:tcPr>
          <w:p w14:paraId="79D53D74"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-0.45</w:t>
            </w:r>
          </w:p>
        </w:tc>
        <w:tc>
          <w:tcPr>
            <w:tcW w:w="2421" w:type="dxa"/>
            <w:shd w:val="clear" w:color="auto" w:fill="auto"/>
          </w:tcPr>
          <w:p w14:paraId="04A37F49" w14:textId="77777777" w:rsidR="003A511B" w:rsidRPr="00C8471A" w:rsidRDefault="003A511B" w:rsidP="00C8471A">
            <w:pPr>
              <w:pStyle w:val="NoSpacing"/>
              <w:rPr>
                <w:rFonts w:eastAsia="Times New Roman" w:cs="Arial"/>
                <w:bdr w:val="none" w:sz="0" w:space="0" w:color="auto"/>
                <w:lang w:val="en-GB" w:eastAsia="en-GB"/>
              </w:rPr>
            </w:pPr>
          </w:p>
        </w:tc>
        <w:tc>
          <w:tcPr>
            <w:tcW w:w="2421" w:type="dxa"/>
            <w:shd w:val="clear" w:color="auto" w:fill="auto"/>
          </w:tcPr>
          <w:p w14:paraId="0F56B59D" w14:textId="77777777" w:rsidR="003A511B" w:rsidRPr="00C8471A" w:rsidRDefault="003A511B" w:rsidP="00C8471A">
            <w:pPr>
              <w:pStyle w:val="NoSpacing"/>
              <w:rPr>
                <w:rFonts w:eastAsia="Times New Roman" w:cs="Arial"/>
                <w:bdr w:val="none" w:sz="0" w:space="0" w:color="auto"/>
                <w:lang w:val="en-GB" w:eastAsia="en-GB"/>
              </w:rPr>
            </w:pPr>
          </w:p>
        </w:tc>
        <w:tc>
          <w:tcPr>
            <w:tcW w:w="2421" w:type="dxa"/>
            <w:shd w:val="clear" w:color="auto" w:fill="auto"/>
          </w:tcPr>
          <w:p w14:paraId="0C821451"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-0.59</w:t>
            </w:r>
          </w:p>
        </w:tc>
      </w:tr>
      <w:tr w:rsidR="003A511B" w:rsidRPr="00C8471A" w14:paraId="6FFE4D00" w14:textId="77777777" w:rsidTr="00BE1AAF">
        <w:tc>
          <w:tcPr>
            <w:tcW w:w="2564" w:type="dxa"/>
            <w:shd w:val="clear" w:color="auto" w:fill="auto"/>
          </w:tcPr>
          <w:p w14:paraId="695AA789"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Non-SEND P8</w:t>
            </w:r>
          </w:p>
        </w:tc>
        <w:tc>
          <w:tcPr>
            <w:tcW w:w="946" w:type="dxa"/>
            <w:shd w:val="clear" w:color="auto" w:fill="auto"/>
          </w:tcPr>
          <w:p w14:paraId="55DA3046"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116</w:t>
            </w:r>
          </w:p>
        </w:tc>
        <w:tc>
          <w:tcPr>
            <w:tcW w:w="2420" w:type="dxa"/>
            <w:shd w:val="clear" w:color="auto" w:fill="auto"/>
          </w:tcPr>
          <w:p w14:paraId="2E7AD0C9"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+0.38</w:t>
            </w:r>
          </w:p>
        </w:tc>
        <w:tc>
          <w:tcPr>
            <w:tcW w:w="2421" w:type="dxa"/>
            <w:shd w:val="clear" w:color="auto" w:fill="auto"/>
          </w:tcPr>
          <w:p w14:paraId="38A88351"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+0.13</w:t>
            </w:r>
          </w:p>
        </w:tc>
        <w:tc>
          <w:tcPr>
            <w:tcW w:w="2421" w:type="dxa"/>
            <w:shd w:val="clear" w:color="auto" w:fill="auto"/>
          </w:tcPr>
          <w:p w14:paraId="33C27B2A" w14:textId="77777777" w:rsidR="003A511B" w:rsidRPr="00C8471A" w:rsidRDefault="003A511B" w:rsidP="00C8471A">
            <w:pPr>
              <w:pStyle w:val="NoSpacing"/>
              <w:rPr>
                <w:rFonts w:eastAsia="Times New Roman" w:cs="Arial"/>
                <w:highlight w:val="green"/>
                <w:bdr w:val="none" w:sz="0" w:space="0" w:color="auto"/>
                <w:lang w:val="en-GB" w:eastAsia="en-GB"/>
              </w:rPr>
            </w:pPr>
            <w:r w:rsidRPr="00C8471A">
              <w:rPr>
                <w:rFonts w:eastAsia="Times New Roman" w:cs="Arial"/>
                <w:bdr w:val="none" w:sz="0" w:space="0" w:color="auto"/>
                <w:lang w:val="en-GB" w:eastAsia="en-GB"/>
              </w:rPr>
              <w:t>-0.03</w:t>
            </w:r>
          </w:p>
        </w:tc>
        <w:tc>
          <w:tcPr>
            <w:tcW w:w="2421" w:type="dxa"/>
            <w:shd w:val="clear" w:color="auto" w:fill="auto"/>
          </w:tcPr>
          <w:p w14:paraId="46FBD1B3" w14:textId="77777777" w:rsidR="003A511B" w:rsidRPr="00C8471A" w:rsidRDefault="003A511B" w:rsidP="00C8471A">
            <w:pPr>
              <w:pStyle w:val="NoSpacing"/>
              <w:rPr>
                <w:rFonts w:eastAsia="Times New Roman" w:cs="Arial"/>
                <w:highlight w:val="green"/>
                <w:bdr w:val="none" w:sz="0" w:space="0" w:color="auto"/>
                <w:lang w:val="en-GB" w:eastAsia="en-GB"/>
              </w:rPr>
            </w:pPr>
            <w:r w:rsidRPr="00C8471A">
              <w:rPr>
                <w:rFonts w:eastAsia="Times New Roman" w:cs="Arial"/>
                <w:bdr w:val="none" w:sz="0" w:space="0" w:color="auto"/>
                <w:lang w:val="en-GB" w:eastAsia="en-GB"/>
              </w:rPr>
              <w:t>-0.04</w:t>
            </w:r>
          </w:p>
        </w:tc>
        <w:tc>
          <w:tcPr>
            <w:tcW w:w="2421" w:type="dxa"/>
            <w:shd w:val="clear" w:color="auto" w:fill="auto"/>
          </w:tcPr>
          <w:p w14:paraId="45A898E4"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+0.07</w:t>
            </w:r>
          </w:p>
        </w:tc>
      </w:tr>
      <w:tr w:rsidR="003A511B" w:rsidRPr="00C8471A" w14:paraId="6A824CB9" w14:textId="77777777" w:rsidTr="00BE1AAF">
        <w:tc>
          <w:tcPr>
            <w:tcW w:w="2564" w:type="dxa"/>
            <w:shd w:val="clear" w:color="auto" w:fill="auto"/>
          </w:tcPr>
          <w:p w14:paraId="09DCE19B"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Gap</w:t>
            </w:r>
          </w:p>
        </w:tc>
        <w:tc>
          <w:tcPr>
            <w:tcW w:w="946" w:type="dxa"/>
            <w:shd w:val="clear" w:color="auto" w:fill="auto"/>
          </w:tcPr>
          <w:p w14:paraId="79C79A4C" w14:textId="77777777" w:rsidR="003A511B" w:rsidRPr="00C8471A" w:rsidRDefault="003A511B" w:rsidP="00C8471A">
            <w:pPr>
              <w:pStyle w:val="NoSpacing"/>
              <w:rPr>
                <w:rFonts w:eastAsia="Times New Roman" w:cs="Arial"/>
                <w:bdr w:val="none" w:sz="0" w:space="0" w:color="auto"/>
                <w:lang w:val="en-GB" w:eastAsia="en-GB"/>
              </w:rPr>
            </w:pPr>
          </w:p>
        </w:tc>
        <w:tc>
          <w:tcPr>
            <w:tcW w:w="2420" w:type="dxa"/>
            <w:shd w:val="clear" w:color="auto" w:fill="auto"/>
          </w:tcPr>
          <w:p w14:paraId="79774F24"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-0.71</w:t>
            </w:r>
          </w:p>
        </w:tc>
        <w:tc>
          <w:tcPr>
            <w:tcW w:w="2421" w:type="dxa"/>
            <w:shd w:val="clear" w:color="auto" w:fill="auto"/>
          </w:tcPr>
          <w:p w14:paraId="712409E4"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-0.58</w:t>
            </w:r>
          </w:p>
        </w:tc>
        <w:tc>
          <w:tcPr>
            <w:tcW w:w="2421" w:type="dxa"/>
            <w:shd w:val="clear" w:color="auto" w:fill="auto"/>
          </w:tcPr>
          <w:p w14:paraId="0E9C6CBD" w14:textId="77777777" w:rsidR="003A511B" w:rsidRPr="00C8471A" w:rsidRDefault="003A511B" w:rsidP="00C8471A">
            <w:pPr>
              <w:pStyle w:val="NoSpacing"/>
              <w:rPr>
                <w:rFonts w:eastAsia="Times New Roman" w:cs="Arial"/>
                <w:bdr w:val="none" w:sz="0" w:space="0" w:color="auto"/>
                <w:lang w:val="en-GB" w:eastAsia="en-GB"/>
              </w:rPr>
            </w:pPr>
          </w:p>
        </w:tc>
        <w:tc>
          <w:tcPr>
            <w:tcW w:w="2421" w:type="dxa"/>
            <w:shd w:val="clear" w:color="auto" w:fill="auto"/>
          </w:tcPr>
          <w:p w14:paraId="22043A58" w14:textId="77777777" w:rsidR="003A511B" w:rsidRPr="00C8471A" w:rsidRDefault="003A511B" w:rsidP="00C8471A">
            <w:pPr>
              <w:pStyle w:val="NoSpacing"/>
              <w:rPr>
                <w:rFonts w:eastAsia="Times New Roman" w:cs="Arial"/>
                <w:bdr w:val="none" w:sz="0" w:space="0" w:color="auto"/>
                <w:lang w:val="en-GB" w:eastAsia="en-GB"/>
              </w:rPr>
            </w:pPr>
          </w:p>
        </w:tc>
        <w:tc>
          <w:tcPr>
            <w:tcW w:w="2421" w:type="dxa"/>
            <w:shd w:val="clear" w:color="auto" w:fill="auto"/>
          </w:tcPr>
          <w:p w14:paraId="173F17D7" w14:textId="77777777" w:rsidR="003A511B" w:rsidRPr="00C8471A" w:rsidRDefault="003A511B" w:rsidP="00C8471A">
            <w:pPr>
              <w:pStyle w:val="NoSpacing"/>
              <w:rPr>
                <w:rFonts w:eastAsia="Times New Roman" w:cs="Arial"/>
                <w:bdr w:val="none" w:sz="0" w:space="0" w:color="auto"/>
                <w:lang w:val="en-GB" w:eastAsia="en-GB"/>
              </w:rPr>
            </w:pPr>
            <w:r w:rsidRPr="00C8471A">
              <w:rPr>
                <w:rFonts w:eastAsia="Times New Roman" w:cs="Arial"/>
                <w:bdr w:val="none" w:sz="0" w:space="0" w:color="auto"/>
                <w:lang w:val="en-GB" w:eastAsia="en-GB"/>
              </w:rPr>
              <w:t>-0.66</w:t>
            </w:r>
          </w:p>
        </w:tc>
      </w:tr>
    </w:tbl>
    <w:p w14:paraId="7659CA6E" w14:textId="77777777" w:rsidR="0005300A" w:rsidRPr="00BE1AAF" w:rsidRDefault="00204EF2" w:rsidP="00C8471A">
      <w:pPr>
        <w:pStyle w:val="NoSpacing"/>
        <w:rPr>
          <w:b/>
          <w:bCs/>
        </w:rPr>
      </w:pPr>
      <w:r w:rsidRPr="00BE1AAF">
        <w:rPr>
          <w:b/>
          <w:bCs/>
        </w:rPr>
        <w:t xml:space="preserve">TBS SEND provision and arrangements. </w:t>
      </w:r>
    </w:p>
    <w:p w14:paraId="6DB7CA9B" w14:textId="77777777" w:rsidR="0005300A" w:rsidRPr="00C8471A" w:rsidRDefault="0005300A" w:rsidP="00C8471A">
      <w:pPr>
        <w:pStyle w:val="NoSpacing"/>
      </w:pPr>
    </w:p>
    <w:p w14:paraId="3EE484D5" w14:textId="1B7845FB" w:rsidR="0005300A" w:rsidRPr="00B64933" w:rsidRDefault="00204EF2" w:rsidP="00C8471A">
      <w:pPr>
        <w:pStyle w:val="NoSpacing"/>
        <w:rPr>
          <w:b/>
          <w:bCs/>
          <w:lang w:val="de-DE"/>
        </w:rPr>
      </w:pPr>
      <w:r w:rsidRPr="00B64933">
        <w:rPr>
          <w:b/>
          <w:bCs/>
          <w:lang w:val="de-DE"/>
        </w:rPr>
        <w:t>HOW DOES THE SCHOOL KNOW IF STUDENTS NEED EXTRA HELP?</w:t>
      </w:r>
    </w:p>
    <w:p w14:paraId="5FC8C834" w14:textId="77777777" w:rsidR="0005300A" w:rsidRPr="00C8471A" w:rsidRDefault="00204EF2" w:rsidP="00C8471A">
      <w:pPr>
        <w:pStyle w:val="NoSpacing"/>
      </w:pPr>
      <w:r w:rsidRPr="00C8471A">
        <w:t>At TBS students are identified as having SEND (Special Educational Needs and Disabilities) through a variety of ways, usually a combination, which may include some of the following:</w:t>
      </w:r>
    </w:p>
    <w:p w14:paraId="34B55127" w14:textId="77777777" w:rsidR="0005300A" w:rsidRPr="00C8471A" w:rsidRDefault="00204EF2" w:rsidP="00602423">
      <w:pPr>
        <w:pStyle w:val="NoSpacing"/>
        <w:numPr>
          <w:ilvl w:val="0"/>
          <w:numId w:val="32"/>
        </w:numPr>
      </w:pPr>
      <w:r w:rsidRPr="00C8471A">
        <w:t>Liaison with previous school setting.</w:t>
      </w:r>
    </w:p>
    <w:p w14:paraId="2AF70BFA" w14:textId="77777777" w:rsidR="0005300A" w:rsidRPr="00C8471A" w:rsidRDefault="00204EF2" w:rsidP="00602423">
      <w:pPr>
        <w:pStyle w:val="NoSpacing"/>
        <w:numPr>
          <w:ilvl w:val="0"/>
          <w:numId w:val="32"/>
        </w:numPr>
      </w:pPr>
      <w:r w:rsidRPr="00C8471A">
        <w:t>Child performing below ‘age expected’ levels or equivalent (e.g. percentile rankings).</w:t>
      </w:r>
    </w:p>
    <w:p w14:paraId="6293423F" w14:textId="77777777" w:rsidR="0005300A" w:rsidRPr="00C8471A" w:rsidRDefault="00204EF2" w:rsidP="00602423">
      <w:pPr>
        <w:pStyle w:val="NoSpacing"/>
        <w:numPr>
          <w:ilvl w:val="0"/>
          <w:numId w:val="32"/>
        </w:numPr>
      </w:pPr>
      <w:r w:rsidRPr="00C8471A">
        <w:t>Concerns raised by a parent.</w:t>
      </w:r>
    </w:p>
    <w:p w14:paraId="46614F37" w14:textId="77777777" w:rsidR="0005300A" w:rsidRPr="00C8471A" w:rsidRDefault="00204EF2" w:rsidP="00602423">
      <w:pPr>
        <w:pStyle w:val="NoSpacing"/>
        <w:numPr>
          <w:ilvl w:val="0"/>
          <w:numId w:val="32"/>
        </w:numPr>
      </w:pPr>
      <w:r w:rsidRPr="00C8471A">
        <w:t xml:space="preserve">Concerns raised by a teacher e.g. if behaviour or </w:t>
      </w:r>
      <w:r w:rsidR="00DC71A7" w:rsidRPr="00C8471A">
        <w:t>self-esteem</w:t>
      </w:r>
      <w:r w:rsidRPr="00C8471A">
        <w:t xml:space="preserve"> is affecting performance.</w:t>
      </w:r>
    </w:p>
    <w:p w14:paraId="1E28D324" w14:textId="77777777" w:rsidR="0005300A" w:rsidRPr="00C8471A" w:rsidRDefault="00204EF2" w:rsidP="00602423">
      <w:pPr>
        <w:pStyle w:val="NoSpacing"/>
        <w:numPr>
          <w:ilvl w:val="0"/>
          <w:numId w:val="32"/>
        </w:numPr>
      </w:pPr>
      <w:r w:rsidRPr="00C8471A">
        <w:t>Liaison with external agencies e.g. for a physical/ sensory issue, speech and language.</w:t>
      </w:r>
    </w:p>
    <w:p w14:paraId="1F38BD9C" w14:textId="77777777" w:rsidR="0005300A" w:rsidRPr="00C8471A" w:rsidRDefault="00204EF2" w:rsidP="00602423">
      <w:pPr>
        <w:pStyle w:val="NoSpacing"/>
        <w:numPr>
          <w:ilvl w:val="0"/>
          <w:numId w:val="32"/>
        </w:numPr>
      </w:pPr>
      <w:r w:rsidRPr="00C8471A">
        <w:t>Use of tools for standardised assessment.</w:t>
      </w:r>
    </w:p>
    <w:p w14:paraId="5ECEBF9E" w14:textId="4F1BFA7E" w:rsidR="0005300A" w:rsidRDefault="00204EF2" w:rsidP="00602423">
      <w:pPr>
        <w:pStyle w:val="NoSpacing"/>
        <w:numPr>
          <w:ilvl w:val="0"/>
          <w:numId w:val="32"/>
        </w:numPr>
      </w:pPr>
      <w:r w:rsidRPr="00C8471A">
        <w:t xml:space="preserve">Students with a Statement / EHCP (Education Health and Care Plan) already have many of their needs clearly identified. Their placement at our school is a decision that is made by the Local Education Authority.  </w:t>
      </w:r>
    </w:p>
    <w:p w14:paraId="7F65921B" w14:textId="76A309F2" w:rsidR="00BE1AAF" w:rsidRDefault="00BE1AAF" w:rsidP="00C8471A">
      <w:pPr>
        <w:pStyle w:val="NoSpacing"/>
      </w:pPr>
    </w:p>
    <w:p w14:paraId="67C177BB" w14:textId="24B99A8B" w:rsidR="00BE1AAF" w:rsidRPr="00B64933" w:rsidRDefault="00BE1AAF" w:rsidP="00C8471A">
      <w:pPr>
        <w:pStyle w:val="NoSpacing"/>
        <w:rPr>
          <w:b/>
          <w:bCs/>
        </w:rPr>
      </w:pPr>
      <w:r w:rsidRPr="00B64933">
        <w:rPr>
          <w:b/>
          <w:bCs/>
        </w:rPr>
        <w:t>HOW WE CONSULT AND SUPPORT PARENTS OF OUR STUDENTS</w:t>
      </w:r>
      <w:r w:rsidR="00B64933" w:rsidRPr="00B64933">
        <w:rPr>
          <w:b/>
          <w:bCs/>
        </w:rPr>
        <w:t>?</w:t>
      </w:r>
    </w:p>
    <w:p w14:paraId="5FD21A41" w14:textId="700B219F" w:rsidR="00BE1AAF" w:rsidRDefault="00BE1AAF" w:rsidP="00602423">
      <w:pPr>
        <w:pStyle w:val="NoSpacing"/>
        <w:numPr>
          <w:ilvl w:val="0"/>
          <w:numId w:val="33"/>
        </w:numPr>
      </w:pPr>
      <w:r>
        <w:t xml:space="preserve">Once a student is identified as potentially requiring additional support we would initiate contact with </w:t>
      </w:r>
      <w:r w:rsidR="00B64933">
        <w:t>the young person and their parents/</w:t>
      </w:r>
      <w:proofErr w:type="spellStart"/>
      <w:r w:rsidR="00B64933">
        <w:t>carers</w:t>
      </w:r>
      <w:proofErr w:type="spellEnd"/>
      <w:r w:rsidR="00B64933">
        <w:t>.</w:t>
      </w:r>
    </w:p>
    <w:p w14:paraId="7615B623" w14:textId="26795ABB" w:rsidR="00B64933" w:rsidRDefault="00B64933" w:rsidP="00602423">
      <w:pPr>
        <w:pStyle w:val="NoSpacing"/>
        <w:numPr>
          <w:ilvl w:val="0"/>
          <w:numId w:val="33"/>
        </w:numPr>
      </w:pPr>
      <w:r>
        <w:t xml:space="preserve">Discussions with the young person </w:t>
      </w:r>
      <w:r w:rsidR="00602423">
        <w:t>are</w:t>
      </w:r>
      <w:r>
        <w:t xml:space="preserve"> had.</w:t>
      </w:r>
    </w:p>
    <w:p w14:paraId="4EEFA5E2" w14:textId="4CE4F866" w:rsidR="00B64933" w:rsidRDefault="00B64933" w:rsidP="00602423">
      <w:pPr>
        <w:pStyle w:val="NoSpacing"/>
        <w:numPr>
          <w:ilvl w:val="0"/>
          <w:numId w:val="33"/>
        </w:numPr>
      </w:pPr>
      <w:r>
        <w:t>Meetings and reviews can be held to ensure support is identified, discussed and agreed.</w:t>
      </w:r>
    </w:p>
    <w:p w14:paraId="071A4490" w14:textId="7A763AC5" w:rsidR="00B64933" w:rsidRPr="00C8471A" w:rsidRDefault="00B64933" w:rsidP="00602423">
      <w:pPr>
        <w:pStyle w:val="NoSpacing"/>
        <w:numPr>
          <w:ilvl w:val="0"/>
          <w:numId w:val="33"/>
        </w:numPr>
      </w:pPr>
      <w:r>
        <w:t>Communication is very important, this may be via meeting, telephone and/or email.</w:t>
      </w:r>
    </w:p>
    <w:p w14:paraId="3C9A0836" w14:textId="77777777" w:rsidR="0005300A" w:rsidRPr="00C8471A" w:rsidRDefault="0005300A" w:rsidP="00C8471A">
      <w:pPr>
        <w:pStyle w:val="NoSpacing"/>
      </w:pPr>
    </w:p>
    <w:p w14:paraId="7C39C419" w14:textId="77777777" w:rsidR="0005300A" w:rsidRPr="00B64933" w:rsidRDefault="00204EF2" w:rsidP="00C8471A">
      <w:pPr>
        <w:pStyle w:val="NoSpacing"/>
        <w:rPr>
          <w:b/>
          <w:bCs/>
        </w:rPr>
      </w:pPr>
      <w:r w:rsidRPr="00B64933">
        <w:rPr>
          <w:b/>
          <w:bCs/>
          <w:lang w:val="de-DE"/>
        </w:rPr>
        <w:t>HOW WE SUPPORT OUR YOUNG PEOPLE?</w:t>
      </w:r>
    </w:p>
    <w:p w14:paraId="4F24F408" w14:textId="77777777" w:rsidR="0005300A" w:rsidRPr="00C8471A" w:rsidRDefault="00204EF2" w:rsidP="00602423">
      <w:pPr>
        <w:pStyle w:val="NoSpacing"/>
        <w:numPr>
          <w:ilvl w:val="0"/>
          <w:numId w:val="34"/>
        </w:numPr>
      </w:pPr>
      <w:r w:rsidRPr="00C8471A">
        <w:t>Our SEN</w:t>
      </w:r>
      <w:r w:rsidR="00FF32CF" w:rsidRPr="00C8471A">
        <w:t>D</w:t>
      </w:r>
      <w:r w:rsidRPr="00C8471A">
        <w:t>Co oversees the progress of any student identified as having SEND.</w:t>
      </w:r>
    </w:p>
    <w:p w14:paraId="57B2C7F9" w14:textId="77777777" w:rsidR="0005300A" w:rsidRPr="00C8471A" w:rsidRDefault="00204EF2" w:rsidP="00602423">
      <w:pPr>
        <w:pStyle w:val="NoSpacing"/>
        <w:numPr>
          <w:ilvl w:val="0"/>
          <w:numId w:val="34"/>
        </w:numPr>
      </w:pPr>
      <w:r w:rsidRPr="00C8471A">
        <w:t xml:space="preserve">There may be a TA (Teaching Assistant) or Academic Learning Mentor working with students either individually or as part of a group. The content of this support is explained to parents when support begins, as part of a young </w:t>
      </w:r>
      <w:r w:rsidR="00855C39" w:rsidRPr="00C8471A">
        <w:t>person’s</w:t>
      </w:r>
      <w:r w:rsidRPr="00C8471A">
        <w:t xml:space="preserve"> bespoke programme of learning and is reviewed and updated during termly learning conversations.</w:t>
      </w:r>
    </w:p>
    <w:p w14:paraId="00AE78F9" w14:textId="77777777" w:rsidR="0005300A" w:rsidRPr="00C8471A" w:rsidRDefault="00204EF2" w:rsidP="00602423">
      <w:pPr>
        <w:pStyle w:val="NoSpacing"/>
        <w:numPr>
          <w:ilvl w:val="0"/>
          <w:numId w:val="34"/>
        </w:numPr>
      </w:pPr>
      <w:r w:rsidRPr="00C8471A">
        <w:t>The SEN</w:t>
      </w:r>
      <w:r w:rsidR="00FF32CF" w:rsidRPr="00C8471A">
        <w:t>D</w:t>
      </w:r>
      <w:r w:rsidRPr="00C8471A">
        <w:t>Co can meet with parents formally (this could be part of a parents’ evening or separately), in order to discuss the young person’s progress and the support that they are receiving.</w:t>
      </w:r>
    </w:p>
    <w:p w14:paraId="40638FF2" w14:textId="77777777" w:rsidR="0005300A" w:rsidRPr="00C8471A" w:rsidRDefault="00204EF2" w:rsidP="00602423">
      <w:pPr>
        <w:pStyle w:val="NoSpacing"/>
        <w:numPr>
          <w:ilvl w:val="0"/>
          <w:numId w:val="34"/>
        </w:numPr>
      </w:pPr>
      <w:r w:rsidRPr="00C8471A">
        <w:t xml:space="preserve">Students with support packages will have a Learning Profile to identify the outcomes the intervention is working towards and supporting; these will be reviewed termly. </w:t>
      </w:r>
    </w:p>
    <w:p w14:paraId="46960630" w14:textId="77777777" w:rsidR="0005300A" w:rsidRPr="00C8471A" w:rsidRDefault="00204EF2" w:rsidP="00602423">
      <w:pPr>
        <w:pStyle w:val="NoSpacing"/>
        <w:numPr>
          <w:ilvl w:val="0"/>
          <w:numId w:val="34"/>
        </w:numPr>
      </w:pPr>
      <w:r w:rsidRPr="00C8471A">
        <w:t xml:space="preserve">Students with a Statement/EHCP will have an Annual Review for all those who are involved in supporting the young person. A person </w:t>
      </w:r>
      <w:r w:rsidR="00855C39" w:rsidRPr="00C8471A">
        <w:t>centered</w:t>
      </w:r>
      <w:r w:rsidRPr="00C8471A">
        <w:t xml:space="preserve"> approach is used to enable the student to be central to this.</w:t>
      </w:r>
    </w:p>
    <w:p w14:paraId="3334509B" w14:textId="77777777" w:rsidR="00B64933" w:rsidRDefault="00B64933" w:rsidP="00C8471A">
      <w:pPr>
        <w:pStyle w:val="NoSpacing"/>
        <w:rPr>
          <w:b/>
          <w:bCs/>
          <w:lang w:val="de-DE"/>
        </w:rPr>
      </w:pPr>
    </w:p>
    <w:p w14:paraId="04784B7D" w14:textId="28DCA1B4" w:rsidR="0005300A" w:rsidRPr="00B64933" w:rsidRDefault="00204EF2" w:rsidP="00C8471A">
      <w:pPr>
        <w:pStyle w:val="NoSpacing"/>
        <w:rPr>
          <w:b/>
          <w:bCs/>
        </w:rPr>
      </w:pPr>
      <w:r w:rsidRPr="00B64933">
        <w:rPr>
          <w:b/>
          <w:bCs/>
          <w:lang w:val="de-DE"/>
        </w:rPr>
        <w:t>WHAT SUPPORT WILL THERE BE FOR A STUDENT</w:t>
      </w:r>
      <w:r w:rsidRPr="00B64933">
        <w:rPr>
          <w:b/>
          <w:bCs/>
        </w:rPr>
        <w:t>’</w:t>
      </w:r>
      <w:r w:rsidRPr="00B64933">
        <w:rPr>
          <w:b/>
          <w:bCs/>
          <w:lang w:val="de-DE"/>
        </w:rPr>
        <w:t>S OVERALL WELL BEING?</w:t>
      </w:r>
    </w:p>
    <w:p w14:paraId="15F4AB0B" w14:textId="77777777" w:rsidR="0005300A" w:rsidRPr="00C8471A" w:rsidRDefault="00204EF2" w:rsidP="00602423">
      <w:pPr>
        <w:pStyle w:val="NoSpacing"/>
        <w:numPr>
          <w:ilvl w:val="0"/>
          <w:numId w:val="35"/>
        </w:numPr>
      </w:pPr>
      <w:r w:rsidRPr="00C8471A">
        <w:t>We are an inclusive school that views a student’s social, emotional and mental health to be as important as their academic progress.</w:t>
      </w:r>
    </w:p>
    <w:p w14:paraId="6652740D" w14:textId="77777777" w:rsidR="0005300A" w:rsidRPr="00C8471A" w:rsidRDefault="00204EF2" w:rsidP="00602423">
      <w:pPr>
        <w:pStyle w:val="NoSpacing"/>
        <w:numPr>
          <w:ilvl w:val="0"/>
          <w:numId w:val="35"/>
        </w:numPr>
      </w:pPr>
      <w:r w:rsidRPr="00C8471A">
        <w:t>The school currently has members of staff trained as ELSA (Emotional Literacy Support Assistant). Referrals can be made for this style of support through the SEN</w:t>
      </w:r>
      <w:r w:rsidR="00B651E6" w:rsidRPr="00C8471A">
        <w:t>D</w:t>
      </w:r>
      <w:r w:rsidRPr="00C8471A">
        <w:t>Co.</w:t>
      </w:r>
    </w:p>
    <w:p w14:paraId="043AF343" w14:textId="77777777" w:rsidR="0005300A" w:rsidRPr="00C8471A" w:rsidRDefault="00DC71A7" w:rsidP="00602423">
      <w:pPr>
        <w:pStyle w:val="NoSpacing"/>
        <w:numPr>
          <w:ilvl w:val="0"/>
          <w:numId w:val="35"/>
        </w:numPr>
      </w:pPr>
      <w:proofErr w:type="spellStart"/>
      <w:r w:rsidRPr="00C8471A">
        <w:t>We</w:t>
      </w:r>
      <w:proofErr w:type="spellEnd"/>
      <w:r w:rsidRPr="00C8471A">
        <w:t xml:space="preserve"> are lucky enough to have a Student Support Worker</w:t>
      </w:r>
      <w:r w:rsidR="00204EF2" w:rsidRPr="00C8471A">
        <w:t xml:space="preserve"> who can support students with issues affecting their emotional </w:t>
      </w:r>
      <w:r w:rsidRPr="00C8471A">
        <w:t>wellbeing</w:t>
      </w:r>
      <w:r w:rsidR="00204EF2" w:rsidRPr="00C8471A">
        <w:t>.</w:t>
      </w:r>
    </w:p>
    <w:p w14:paraId="64931154" w14:textId="77777777" w:rsidR="0005300A" w:rsidRPr="00C8471A" w:rsidRDefault="00204EF2" w:rsidP="00602423">
      <w:pPr>
        <w:pStyle w:val="NoSpacing"/>
        <w:numPr>
          <w:ilvl w:val="0"/>
          <w:numId w:val="35"/>
        </w:numPr>
      </w:pPr>
      <w:proofErr w:type="spellStart"/>
      <w:r w:rsidRPr="00C8471A">
        <w:t>We</w:t>
      </w:r>
      <w:proofErr w:type="spellEnd"/>
      <w:r w:rsidRPr="00C8471A">
        <w:t xml:space="preserve"> have a dedicated team of first aid trained staff and a lead first aider who can support students with medical needs, medication etc.</w:t>
      </w:r>
    </w:p>
    <w:p w14:paraId="790CA1FF" w14:textId="79051875" w:rsidR="0005300A" w:rsidRDefault="00204EF2" w:rsidP="00602423">
      <w:pPr>
        <w:pStyle w:val="NoSpacing"/>
        <w:numPr>
          <w:ilvl w:val="0"/>
          <w:numId w:val="35"/>
        </w:numPr>
      </w:pPr>
      <w:proofErr w:type="spellStart"/>
      <w:r w:rsidRPr="00C8471A">
        <w:t>Any</w:t>
      </w:r>
      <w:proofErr w:type="spellEnd"/>
      <w:r w:rsidRPr="00C8471A">
        <w:t xml:space="preserve"> additional staff working with vulnerable children requiring support during the school day, will work under the direction of the SEN</w:t>
      </w:r>
      <w:r w:rsidR="00FF32CF" w:rsidRPr="00C8471A">
        <w:t>D</w:t>
      </w:r>
      <w:r w:rsidRPr="00C8471A">
        <w:t xml:space="preserve">Co. </w:t>
      </w:r>
    </w:p>
    <w:p w14:paraId="53882BA7" w14:textId="0B6274FA" w:rsidR="00B64933" w:rsidRDefault="00B64933" w:rsidP="00602423">
      <w:pPr>
        <w:pStyle w:val="NoSpacing"/>
        <w:numPr>
          <w:ilvl w:val="0"/>
          <w:numId w:val="35"/>
        </w:numPr>
      </w:pPr>
      <w:r>
        <w:t>Close work and communication with a range of external agencies with personalized programs.</w:t>
      </w:r>
    </w:p>
    <w:p w14:paraId="5B2E417B" w14:textId="360009FF" w:rsidR="00B64933" w:rsidRDefault="00B64933" w:rsidP="00602423">
      <w:pPr>
        <w:pStyle w:val="NoSpacing"/>
        <w:numPr>
          <w:ilvl w:val="0"/>
          <w:numId w:val="35"/>
        </w:numPr>
      </w:pPr>
      <w:r>
        <w:t>Dedicated program to support Children In Care (CIC). Termly meetings/reviews are held to complete Personal Education Plans (PEP) and ensure that needs are met. There is a designated teacher for Looked After Children and Governors oversee procedures are in place.</w:t>
      </w:r>
    </w:p>
    <w:p w14:paraId="43491B63" w14:textId="55174EA5" w:rsidR="00B64933" w:rsidRPr="00C8471A" w:rsidRDefault="00B64933" w:rsidP="00602423">
      <w:pPr>
        <w:pStyle w:val="NoSpacing"/>
        <w:numPr>
          <w:ilvl w:val="0"/>
          <w:numId w:val="35"/>
        </w:numPr>
      </w:pPr>
      <w:r>
        <w:t>Variety of ways in which students can report difficulties, such as bullying. We have a strong team of trained peer mentors and anti-bullying ambassadors.</w:t>
      </w:r>
    </w:p>
    <w:p w14:paraId="74AFB5B6" w14:textId="77777777" w:rsidR="0005300A" w:rsidRPr="00C8471A" w:rsidRDefault="0005300A" w:rsidP="00C8471A">
      <w:pPr>
        <w:pStyle w:val="NoSpacing"/>
      </w:pPr>
    </w:p>
    <w:p w14:paraId="13DAED8C" w14:textId="77777777" w:rsidR="0005300A" w:rsidRPr="00B64933" w:rsidRDefault="00204EF2" w:rsidP="00C8471A">
      <w:pPr>
        <w:pStyle w:val="NoSpacing"/>
        <w:rPr>
          <w:b/>
          <w:bCs/>
        </w:rPr>
      </w:pPr>
      <w:r w:rsidRPr="00B64933">
        <w:rPr>
          <w:b/>
          <w:bCs/>
          <w:lang w:val="de-DE"/>
        </w:rPr>
        <w:t>WHAT SUPPORT IS THERE FOR BEHAVIOUR, AVOIDING EXCLUSION AND INCREASING ATTENDANCE?</w:t>
      </w:r>
    </w:p>
    <w:p w14:paraId="50D7D306" w14:textId="4679AE79" w:rsidR="0005300A" w:rsidRPr="00C8471A" w:rsidRDefault="00204EF2" w:rsidP="00602423">
      <w:pPr>
        <w:pStyle w:val="NoSpacing"/>
        <w:numPr>
          <w:ilvl w:val="0"/>
          <w:numId w:val="36"/>
        </w:numPr>
      </w:pPr>
      <w:r w:rsidRPr="00C8471A">
        <w:t xml:space="preserve">The school has adopted behaviour and exclusion policies available on the school website. If a student has significant behaviour difficulties, a Pastoral Support Plan (PSP) </w:t>
      </w:r>
      <w:r w:rsidR="00FF32CF" w:rsidRPr="00C8471A">
        <w:t>is</w:t>
      </w:r>
      <w:r w:rsidRPr="00C8471A">
        <w:t xml:space="preserve"> written to identify the specific issues, put relevant support in place and set targets with a view to identifying and addressing the underlying reasons behind the </w:t>
      </w:r>
      <w:proofErr w:type="spellStart"/>
      <w:r w:rsidRPr="00C8471A">
        <w:t>behaviour</w:t>
      </w:r>
      <w:proofErr w:type="spellEnd"/>
      <w:r w:rsidRPr="00C8471A">
        <w:t>.</w:t>
      </w:r>
    </w:p>
    <w:p w14:paraId="02C76BBE" w14:textId="77777777" w:rsidR="0005300A" w:rsidRPr="00C8471A" w:rsidRDefault="00204EF2" w:rsidP="00602423">
      <w:pPr>
        <w:pStyle w:val="NoSpacing"/>
        <w:numPr>
          <w:ilvl w:val="0"/>
          <w:numId w:val="36"/>
        </w:numPr>
      </w:pPr>
      <w:r w:rsidRPr="00C8471A">
        <w:t xml:space="preserve">The school has an attendance policy, this can be found on the school website. Attendance of every child is monitored on a daily basis by the school. Lateness and absence are recorded, reported and addressed. </w:t>
      </w:r>
    </w:p>
    <w:p w14:paraId="377D1457" w14:textId="33030EE1" w:rsidR="0005300A" w:rsidRPr="00C8471A" w:rsidRDefault="00204EF2" w:rsidP="00602423">
      <w:pPr>
        <w:pStyle w:val="NoSpacing"/>
        <w:numPr>
          <w:ilvl w:val="0"/>
          <w:numId w:val="36"/>
        </w:numPr>
      </w:pPr>
      <w:r w:rsidRPr="00C8471A">
        <w:t>The school is also able to support families in making contact with other agencies who can provide appropriate support. The school is led by Dorset Council as to policies and procedures surrounding issues in reference to poor attendance and attendance levels.</w:t>
      </w:r>
    </w:p>
    <w:p w14:paraId="54822FEA" w14:textId="77777777" w:rsidR="0005300A" w:rsidRPr="00C8471A" w:rsidRDefault="0005300A" w:rsidP="00C8471A">
      <w:pPr>
        <w:pStyle w:val="NoSpacing"/>
      </w:pPr>
    </w:p>
    <w:p w14:paraId="1FB9E553" w14:textId="77777777" w:rsidR="0005300A" w:rsidRPr="00B64933" w:rsidRDefault="00204EF2" w:rsidP="00C8471A">
      <w:pPr>
        <w:pStyle w:val="NoSpacing"/>
        <w:rPr>
          <w:b/>
          <w:bCs/>
        </w:rPr>
      </w:pPr>
      <w:r w:rsidRPr="00B64933">
        <w:rPr>
          <w:b/>
          <w:bCs/>
          <w:lang w:val="de-DE"/>
        </w:rPr>
        <w:t>HOW ACCESSIBLE IS THE SCHOOL ENVIRONMENT?</w:t>
      </w:r>
    </w:p>
    <w:p w14:paraId="399F742C" w14:textId="77777777" w:rsidR="0005300A" w:rsidRPr="00C8471A" w:rsidRDefault="00204EF2" w:rsidP="00602423">
      <w:pPr>
        <w:pStyle w:val="NoSpacing"/>
        <w:numPr>
          <w:ilvl w:val="0"/>
          <w:numId w:val="37"/>
        </w:numPr>
        <w:rPr>
          <w:i/>
          <w:iCs/>
        </w:rPr>
      </w:pPr>
      <w:r w:rsidRPr="00C8471A">
        <w:t>Our school has an adopted accessibility policy; this can be found on the school website.</w:t>
      </w:r>
    </w:p>
    <w:p w14:paraId="35389FB7" w14:textId="635C8EC2" w:rsidR="0005300A" w:rsidRPr="00C8471A" w:rsidRDefault="00602423" w:rsidP="00602423">
      <w:pPr>
        <w:pStyle w:val="NoSpacing"/>
        <w:numPr>
          <w:ilvl w:val="0"/>
          <w:numId w:val="37"/>
        </w:numPr>
        <w:rPr>
          <w:i/>
          <w:iCs/>
        </w:rPr>
      </w:pPr>
      <w:r>
        <w:t>Four</w:t>
      </w:r>
      <w:r w:rsidR="00204EF2" w:rsidRPr="00C8471A">
        <w:t xml:space="preserve"> of the </w:t>
      </w:r>
      <w:r>
        <w:t>five</w:t>
      </w:r>
      <w:r w:rsidR="00204EF2" w:rsidRPr="00C8471A">
        <w:t xml:space="preserve"> blocks in the school are accessible by wheelchair. Ramps are provided near stepped areas and disabled parking bays are available out the front of reception.</w:t>
      </w:r>
    </w:p>
    <w:p w14:paraId="58540041" w14:textId="77777777" w:rsidR="0005300A" w:rsidRPr="00C8471A" w:rsidRDefault="00204EF2" w:rsidP="00602423">
      <w:pPr>
        <w:pStyle w:val="NoSpacing"/>
        <w:numPr>
          <w:ilvl w:val="0"/>
          <w:numId w:val="37"/>
        </w:numPr>
        <w:rPr>
          <w:i/>
          <w:iCs/>
        </w:rPr>
      </w:pPr>
      <w:r w:rsidRPr="00C8471A">
        <w:t>Accessible toilet facilities are available both by the main reception and in the PE area. There is a disabled changing facility in the PE area.</w:t>
      </w:r>
    </w:p>
    <w:p w14:paraId="00DC8B31" w14:textId="77777777" w:rsidR="00B64933" w:rsidRDefault="00B64933" w:rsidP="00C8471A">
      <w:pPr>
        <w:pStyle w:val="NoSpacing"/>
        <w:rPr>
          <w:b/>
          <w:bCs/>
          <w:lang w:val="de-DE"/>
        </w:rPr>
      </w:pPr>
    </w:p>
    <w:p w14:paraId="1CB03B2A" w14:textId="77777777" w:rsidR="00B64933" w:rsidRDefault="00B64933" w:rsidP="00C8471A">
      <w:pPr>
        <w:pStyle w:val="NoSpacing"/>
        <w:rPr>
          <w:b/>
          <w:bCs/>
          <w:lang w:val="de-DE"/>
        </w:rPr>
      </w:pPr>
    </w:p>
    <w:p w14:paraId="29975B7D" w14:textId="27D47599" w:rsidR="0005300A" w:rsidRPr="00B64933" w:rsidRDefault="00204EF2" w:rsidP="00C8471A">
      <w:pPr>
        <w:pStyle w:val="NoSpacing"/>
        <w:rPr>
          <w:b/>
          <w:bCs/>
        </w:rPr>
      </w:pPr>
      <w:r w:rsidRPr="00B64933">
        <w:rPr>
          <w:b/>
          <w:bCs/>
          <w:lang w:val="de-DE"/>
        </w:rPr>
        <w:t>HOW WILL THE CURRICULUM BE DIFFERENTIATED TO MATCH THE STUDENT</w:t>
      </w:r>
      <w:r w:rsidRPr="00B64933">
        <w:rPr>
          <w:b/>
          <w:bCs/>
        </w:rPr>
        <w:t>’</w:t>
      </w:r>
      <w:r w:rsidRPr="00B64933">
        <w:rPr>
          <w:b/>
          <w:bCs/>
          <w:lang w:val="de-DE"/>
        </w:rPr>
        <w:t>S NEEDS?</w:t>
      </w:r>
    </w:p>
    <w:p w14:paraId="2E9D91AB" w14:textId="77777777" w:rsidR="0005300A" w:rsidRPr="00C8471A" w:rsidRDefault="00204EF2" w:rsidP="00602423">
      <w:pPr>
        <w:pStyle w:val="NoSpacing"/>
        <w:numPr>
          <w:ilvl w:val="0"/>
          <w:numId w:val="38"/>
        </w:numPr>
      </w:pPr>
      <w:r w:rsidRPr="00C8471A">
        <w:t>The long term curriculum plans are available to parents on the school website.</w:t>
      </w:r>
    </w:p>
    <w:p w14:paraId="6DEA1CFE" w14:textId="77777777" w:rsidR="0005300A" w:rsidRPr="00C8471A" w:rsidRDefault="00204EF2" w:rsidP="00602423">
      <w:pPr>
        <w:pStyle w:val="NoSpacing"/>
        <w:numPr>
          <w:ilvl w:val="0"/>
          <w:numId w:val="38"/>
        </w:numPr>
      </w:pPr>
      <w:r w:rsidRPr="00C8471A">
        <w:t>All learning activities within class are planned and differentiated at an appropriate level, so that all students are able to access learning according to their specific needs. Typically, this might mean that in a lesson there would be different levels of work set for the class, however, on occasions this might be individually differentiated.</w:t>
      </w:r>
    </w:p>
    <w:p w14:paraId="49672E3D" w14:textId="77777777" w:rsidR="0005300A" w:rsidRPr="00C8471A" w:rsidRDefault="00204EF2" w:rsidP="00602423">
      <w:pPr>
        <w:pStyle w:val="NoSpacing"/>
        <w:numPr>
          <w:ilvl w:val="0"/>
          <w:numId w:val="38"/>
        </w:numPr>
      </w:pPr>
      <w:r w:rsidRPr="00C8471A">
        <w:t>The class teacher, alongside the SEN</w:t>
      </w:r>
      <w:r w:rsidR="00FF32CF" w:rsidRPr="00C8471A">
        <w:t>D</w:t>
      </w:r>
      <w:r w:rsidRPr="00C8471A">
        <w:t>Co, will discuss a student’s needs and what support will be appropriate.</w:t>
      </w:r>
    </w:p>
    <w:p w14:paraId="1665BEA4" w14:textId="77777777" w:rsidR="0005300A" w:rsidRPr="00C8471A" w:rsidRDefault="00204EF2" w:rsidP="00602423">
      <w:pPr>
        <w:pStyle w:val="NoSpacing"/>
        <w:numPr>
          <w:ilvl w:val="0"/>
          <w:numId w:val="38"/>
        </w:numPr>
      </w:pPr>
      <w:r w:rsidRPr="00C8471A">
        <w:t>Students with SEND will have access to the appropriate resources needed in order to help them to make progress e.g. base ten, coloured overlays.</w:t>
      </w:r>
    </w:p>
    <w:p w14:paraId="584F634E" w14:textId="77777777" w:rsidR="0005300A" w:rsidRPr="00C8471A" w:rsidRDefault="00204EF2" w:rsidP="00602423">
      <w:pPr>
        <w:pStyle w:val="NoSpacing"/>
        <w:numPr>
          <w:ilvl w:val="0"/>
          <w:numId w:val="38"/>
        </w:numPr>
      </w:pPr>
      <w:r w:rsidRPr="00C8471A">
        <w:t>The SEN</w:t>
      </w:r>
      <w:r w:rsidR="00FF32CF" w:rsidRPr="00C8471A">
        <w:t>D</w:t>
      </w:r>
      <w:r w:rsidRPr="00C8471A">
        <w:t>Co regularly reports to the Head teacher and Governors regularly to inform them about the progress of young people with SEND and how resources are being used. Information provided will never name individual students in order to maintain confidentiality at all times.</w:t>
      </w:r>
    </w:p>
    <w:p w14:paraId="78A19D58" w14:textId="77777777" w:rsidR="0005300A" w:rsidRPr="00C8471A" w:rsidRDefault="00204EF2" w:rsidP="00602423">
      <w:pPr>
        <w:pStyle w:val="NoSpacing"/>
        <w:numPr>
          <w:ilvl w:val="0"/>
          <w:numId w:val="38"/>
        </w:numPr>
      </w:pPr>
      <w:r w:rsidRPr="00C8471A">
        <w:t>The governor responsible for SEND also meets regularly with the SEN</w:t>
      </w:r>
      <w:r w:rsidR="00FF32CF" w:rsidRPr="00C8471A">
        <w:t>D</w:t>
      </w:r>
      <w:r w:rsidRPr="00C8471A">
        <w:t>Co. They report on their visit to the governors to keep them all informed with school or Local Authority (LA) information.</w:t>
      </w:r>
    </w:p>
    <w:p w14:paraId="6B1E3C64" w14:textId="77777777" w:rsidR="0005300A" w:rsidRPr="00C8471A" w:rsidRDefault="00204EF2" w:rsidP="00602423">
      <w:pPr>
        <w:pStyle w:val="NoSpacing"/>
        <w:numPr>
          <w:ilvl w:val="0"/>
          <w:numId w:val="38"/>
        </w:numPr>
      </w:pPr>
      <w:r w:rsidRPr="00C8471A">
        <w:t>The governors agree priorities for spending within the SEN</w:t>
      </w:r>
      <w:r w:rsidR="00FF32CF" w:rsidRPr="00C8471A">
        <w:t>D</w:t>
      </w:r>
      <w:r w:rsidRPr="00C8471A">
        <w:t xml:space="preserve"> budget with the overall aim that all students receive the support that they need in order to make progress. This will include resourcing appropriate equipment and facilities.</w:t>
      </w:r>
    </w:p>
    <w:p w14:paraId="01FFB940" w14:textId="77777777" w:rsidR="0005300A" w:rsidRPr="00C8471A" w:rsidRDefault="0005300A" w:rsidP="00C8471A">
      <w:pPr>
        <w:pStyle w:val="NoSpacing"/>
      </w:pPr>
    </w:p>
    <w:p w14:paraId="2A64FDCA" w14:textId="77777777" w:rsidR="0005300A" w:rsidRPr="00B64933" w:rsidRDefault="00204EF2" w:rsidP="00C8471A">
      <w:pPr>
        <w:pStyle w:val="NoSpacing"/>
        <w:rPr>
          <w:b/>
          <w:bCs/>
        </w:rPr>
      </w:pPr>
      <w:r w:rsidRPr="00B64933">
        <w:rPr>
          <w:b/>
          <w:bCs/>
          <w:lang w:val="de-DE"/>
        </w:rPr>
        <w:t>HOW DO WE KNOW IF THIS HAS HAD AN IMPACT?</w:t>
      </w:r>
    </w:p>
    <w:p w14:paraId="7F68E6F3" w14:textId="77777777" w:rsidR="0005300A" w:rsidRPr="00C8471A" w:rsidRDefault="00204EF2" w:rsidP="00602423">
      <w:pPr>
        <w:pStyle w:val="NoSpacing"/>
        <w:numPr>
          <w:ilvl w:val="0"/>
          <w:numId w:val="39"/>
        </w:numPr>
      </w:pPr>
      <w:r w:rsidRPr="00C8471A">
        <w:t>The young person is assessed and monitored to check they are making progress academically against national/ age expected levels (or equivalents) and that the gap is narrowing between them and their peers.</w:t>
      </w:r>
    </w:p>
    <w:p w14:paraId="7670FDCC" w14:textId="77777777" w:rsidR="0005300A" w:rsidRPr="00C8471A" w:rsidRDefault="00204EF2" w:rsidP="00602423">
      <w:pPr>
        <w:pStyle w:val="NoSpacing"/>
        <w:numPr>
          <w:ilvl w:val="0"/>
          <w:numId w:val="39"/>
        </w:numPr>
      </w:pPr>
      <w:r w:rsidRPr="00C8471A">
        <w:t>We review student outcomes in their Learning Profile and ensuring that they are being met.</w:t>
      </w:r>
    </w:p>
    <w:p w14:paraId="67C56F52" w14:textId="77777777" w:rsidR="0005300A" w:rsidRPr="00C8471A" w:rsidRDefault="00204EF2" w:rsidP="00602423">
      <w:pPr>
        <w:pStyle w:val="NoSpacing"/>
        <w:numPr>
          <w:ilvl w:val="0"/>
          <w:numId w:val="39"/>
        </w:numPr>
      </w:pPr>
      <w:r w:rsidRPr="00C8471A">
        <w:t>Verbal feedback is collected from the student, parent and the teacher to build a wider picture.</w:t>
      </w:r>
    </w:p>
    <w:p w14:paraId="1C4C9281" w14:textId="77777777" w:rsidR="0005300A" w:rsidRPr="00C8471A" w:rsidRDefault="00204EF2" w:rsidP="00602423">
      <w:pPr>
        <w:pStyle w:val="NoSpacing"/>
        <w:numPr>
          <w:ilvl w:val="0"/>
          <w:numId w:val="39"/>
        </w:numPr>
      </w:pPr>
      <w:r w:rsidRPr="00C8471A">
        <w:t>Through students moving off the SEN</w:t>
      </w:r>
      <w:r w:rsidR="00FF32CF" w:rsidRPr="00C8471A">
        <w:t>D</w:t>
      </w:r>
      <w:r w:rsidRPr="00C8471A">
        <w:t xml:space="preserve"> Register when they have made sufficient progress.</w:t>
      </w:r>
    </w:p>
    <w:p w14:paraId="409D200D" w14:textId="77777777" w:rsidR="0005300A" w:rsidRPr="00C8471A" w:rsidRDefault="0005300A" w:rsidP="00C8471A">
      <w:pPr>
        <w:pStyle w:val="NoSpacing"/>
      </w:pPr>
    </w:p>
    <w:p w14:paraId="66E36D9C" w14:textId="77777777" w:rsidR="0005300A" w:rsidRPr="00B64933" w:rsidRDefault="00204EF2" w:rsidP="00C8471A">
      <w:pPr>
        <w:pStyle w:val="NoSpacing"/>
        <w:rPr>
          <w:b/>
          <w:bCs/>
        </w:rPr>
      </w:pPr>
      <w:r w:rsidRPr="00B64933">
        <w:rPr>
          <w:b/>
          <w:bCs/>
          <w:lang w:val="de-DE"/>
        </w:rPr>
        <w:t>HOW DOES THE SCHOOL KNOW HOW WELL STUDENTS ARE DOING?</w:t>
      </w:r>
    </w:p>
    <w:p w14:paraId="3DF0E02D" w14:textId="77777777" w:rsidR="0005300A" w:rsidRPr="00C8471A" w:rsidRDefault="00204EF2" w:rsidP="00602423">
      <w:pPr>
        <w:pStyle w:val="NoSpacing"/>
        <w:numPr>
          <w:ilvl w:val="0"/>
          <w:numId w:val="40"/>
        </w:numPr>
      </w:pPr>
      <w:r w:rsidRPr="00C8471A">
        <w:t>As a school we track and analyse the students’ progress in learning against national expectations and age related expectations on a termly basis.</w:t>
      </w:r>
    </w:p>
    <w:p w14:paraId="5CD4E467" w14:textId="77777777" w:rsidR="0005300A" w:rsidRPr="00C8471A" w:rsidRDefault="00204EF2" w:rsidP="00602423">
      <w:pPr>
        <w:pStyle w:val="NoSpacing"/>
        <w:numPr>
          <w:ilvl w:val="0"/>
          <w:numId w:val="40"/>
        </w:numPr>
      </w:pPr>
      <w:r w:rsidRPr="00C8471A">
        <w:t>The class teacher continually assesses each student and notes areas where they are improving and where further support is needed. As a school, we track student progress from entry to leaving using a variety of different methods. This is reported to parents via progress checks, parents’ evenings, reports and Learning Profiles (where appropriate).</w:t>
      </w:r>
    </w:p>
    <w:p w14:paraId="6E4B3D40" w14:textId="77777777" w:rsidR="0005300A" w:rsidRPr="00C8471A" w:rsidRDefault="00204EF2" w:rsidP="00602423">
      <w:pPr>
        <w:pStyle w:val="NoSpacing"/>
        <w:numPr>
          <w:ilvl w:val="0"/>
          <w:numId w:val="40"/>
        </w:numPr>
      </w:pPr>
      <w:r w:rsidRPr="00C8471A">
        <w:t>Where specific needs are apparent, the school has a range of assessments which can be used to explore a child’s strengths and difficulties in more depth, for example standardised assessments, such as Single Word Reading/Spelling.</w:t>
      </w:r>
    </w:p>
    <w:p w14:paraId="5779A76D" w14:textId="77777777" w:rsidR="0005300A" w:rsidRPr="00C8471A" w:rsidRDefault="00204EF2" w:rsidP="00602423">
      <w:pPr>
        <w:pStyle w:val="NoSpacing"/>
        <w:numPr>
          <w:ilvl w:val="0"/>
          <w:numId w:val="40"/>
        </w:numPr>
      </w:pPr>
      <w:r w:rsidRPr="00C8471A">
        <w:t>The Headteacher and SEN</w:t>
      </w:r>
      <w:r w:rsidR="00FF32CF" w:rsidRPr="00C8471A">
        <w:t>D</w:t>
      </w:r>
      <w:r w:rsidRPr="00C8471A">
        <w:t xml:space="preserve">Co report regularly to the Governing Body. </w:t>
      </w:r>
      <w:r w:rsidR="00855C39" w:rsidRPr="00C8471A">
        <w:t>We have a governor who is responsible for SEN</w:t>
      </w:r>
      <w:r w:rsidR="00FF32CF" w:rsidRPr="00C8471A">
        <w:t>D</w:t>
      </w:r>
      <w:r w:rsidR="00855C39" w:rsidRPr="00C8471A">
        <w:t>, who meets regularly with the SEN</w:t>
      </w:r>
      <w:r w:rsidR="00FF32CF" w:rsidRPr="00C8471A">
        <w:t>D</w:t>
      </w:r>
      <w:r w:rsidR="00855C39" w:rsidRPr="00C8471A">
        <w:t>Co and attends briefing sessions. They also report back to the Governing Body (see previous information).</w:t>
      </w:r>
    </w:p>
    <w:p w14:paraId="7118DF14" w14:textId="77777777" w:rsidR="0005300A" w:rsidRPr="00C8471A" w:rsidRDefault="0005300A" w:rsidP="00C8471A">
      <w:pPr>
        <w:pStyle w:val="NoSpacing"/>
      </w:pPr>
    </w:p>
    <w:p w14:paraId="5A3A6408" w14:textId="36AC100A" w:rsidR="0005300A" w:rsidRPr="00B64933" w:rsidRDefault="00204EF2" w:rsidP="00C8471A">
      <w:pPr>
        <w:pStyle w:val="NoSpacing"/>
        <w:rPr>
          <w:b/>
          <w:bCs/>
        </w:rPr>
      </w:pPr>
      <w:r w:rsidRPr="00B64933">
        <w:rPr>
          <w:b/>
          <w:bCs/>
          <w:lang w:val="de-DE"/>
        </w:rPr>
        <w:t>HOW WILL STUDENTS BE INCLUDED IN ACTIVITIES OUTSIDE THE CLASSROOM, INCLUDING SCHOOL TRIPS?</w:t>
      </w:r>
    </w:p>
    <w:p w14:paraId="07B69115" w14:textId="77777777" w:rsidR="00D54BC6" w:rsidRPr="00C8471A" w:rsidRDefault="00204EF2" w:rsidP="00C56142">
      <w:pPr>
        <w:pStyle w:val="NoSpacing"/>
        <w:numPr>
          <w:ilvl w:val="0"/>
          <w:numId w:val="41"/>
        </w:numPr>
      </w:pPr>
      <w:r w:rsidRPr="00C8471A">
        <w:t>All students are included in all parts of the school curriculum and we aim for all students to be included on school trips. We will provide the necessary support to ensure that this is successful and may discuss this in advance with parents. It might be appropriate for additional consideration to be made depending upon the child’s individual needs and this is discussed with the parents where appropriate</w:t>
      </w:r>
    </w:p>
    <w:p w14:paraId="1675DD04" w14:textId="7B305194" w:rsidR="0005300A" w:rsidRPr="00C8471A" w:rsidRDefault="00204EF2" w:rsidP="00C56142">
      <w:pPr>
        <w:pStyle w:val="NoSpacing"/>
        <w:numPr>
          <w:ilvl w:val="0"/>
          <w:numId w:val="41"/>
        </w:numPr>
      </w:pPr>
      <w:r w:rsidRPr="00C8471A">
        <w:t>A risk assessment is carried out prior to any off site activity to ensure everyone’s health and safety will not be compromised. In the unlikely event that it is considered unsafe for a young person to take part in an activity, then alternative activities that will cover the same curriculum areas will be provided within the school environment, wherever possible.</w:t>
      </w:r>
    </w:p>
    <w:p w14:paraId="42ACA2E4" w14:textId="77777777" w:rsidR="0005300A" w:rsidRPr="00C8471A" w:rsidRDefault="00204EF2" w:rsidP="00C56142">
      <w:pPr>
        <w:pStyle w:val="NoSpacing"/>
        <w:numPr>
          <w:ilvl w:val="0"/>
          <w:numId w:val="41"/>
        </w:numPr>
      </w:pPr>
      <w:r w:rsidRPr="00C8471A">
        <w:t>There is a variety of lunchtime and after school clubs listed on our Website. We aim for these to be as inclusive as possible. Some children like to use the Lunch Lounge (safe haven) during break and lunch times. Each child’s needs will be considered on an individual basis.</w:t>
      </w:r>
    </w:p>
    <w:p w14:paraId="73F1E6C2" w14:textId="77777777" w:rsidR="0005300A" w:rsidRPr="00C8471A" w:rsidRDefault="0005300A" w:rsidP="00C8471A">
      <w:pPr>
        <w:pStyle w:val="NoSpacing"/>
      </w:pPr>
    </w:p>
    <w:p w14:paraId="6E6A4C79" w14:textId="733B5C70" w:rsidR="0005300A" w:rsidRPr="00B64933" w:rsidRDefault="00204EF2" w:rsidP="00C8471A">
      <w:pPr>
        <w:pStyle w:val="NoSpacing"/>
        <w:rPr>
          <w:b/>
          <w:bCs/>
        </w:rPr>
      </w:pPr>
      <w:r w:rsidRPr="00B64933">
        <w:rPr>
          <w:b/>
          <w:bCs/>
          <w:lang w:val="de-DE"/>
        </w:rPr>
        <w:t>HOW WILL THE SCHOOL PREPARE AND SUPPORT MY CHILD WHEN JOINING THE SCHOOL OR TRANSFERRING TO A NEW SCHOOL?</w:t>
      </w:r>
    </w:p>
    <w:p w14:paraId="7F04C294" w14:textId="77777777" w:rsidR="0005300A" w:rsidRPr="00C8471A" w:rsidRDefault="00204EF2" w:rsidP="00C56142">
      <w:pPr>
        <w:pStyle w:val="NoSpacing"/>
        <w:numPr>
          <w:ilvl w:val="0"/>
          <w:numId w:val="42"/>
        </w:numPr>
      </w:pPr>
      <w:r w:rsidRPr="00C8471A">
        <w:t>We encourage all new children to visit the school prior to starting.</w:t>
      </w:r>
    </w:p>
    <w:p w14:paraId="74A99515" w14:textId="77777777" w:rsidR="0005300A" w:rsidRPr="00C8471A" w:rsidRDefault="00204EF2" w:rsidP="00C56142">
      <w:pPr>
        <w:pStyle w:val="NoSpacing"/>
        <w:numPr>
          <w:ilvl w:val="0"/>
          <w:numId w:val="42"/>
        </w:numPr>
      </w:pPr>
      <w:r w:rsidRPr="00C8471A">
        <w:t>We have Transition Programmes that can be put in place to support students prior and during transition to TBS.</w:t>
      </w:r>
    </w:p>
    <w:p w14:paraId="28C9476F" w14:textId="77777777" w:rsidR="0005300A" w:rsidRPr="00C8471A" w:rsidRDefault="00204EF2" w:rsidP="00C56142">
      <w:pPr>
        <w:pStyle w:val="NoSpacing"/>
        <w:numPr>
          <w:ilvl w:val="0"/>
          <w:numId w:val="42"/>
        </w:numPr>
      </w:pPr>
      <w:r w:rsidRPr="00C8471A">
        <w:t>We can create ‘social stories’ with/for the children if transition is likely to prove challenging</w:t>
      </w:r>
    </w:p>
    <w:p w14:paraId="4CC62A17" w14:textId="77777777" w:rsidR="0005300A" w:rsidRPr="00C8471A" w:rsidRDefault="00204EF2" w:rsidP="00C56142">
      <w:pPr>
        <w:pStyle w:val="NoSpacing"/>
        <w:numPr>
          <w:ilvl w:val="0"/>
          <w:numId w:val="42"/>
        </w:numPr>
      </w:pPr>
      <w:r w:rsidRPr="00C8471A">
        <w:t>We liaise closely with the staff when receiving and transferring children to and from different schools, ensuring all relevant paperwork is passed on and all needs are discussed and understood.</w:t>
      </w:r>
    </w:p>
    <w:p w14:paraId="69499A1B" w14:textId="77777777" w:rsidR="0005300A" w:rsidRPr="00C8471A" w:rsidRDefault="00204EF2" w:rsidP="00C56142">
      <w:pPr>
        <w:pStyle w:val="NoSpacing"/>
        <w:numPr>
          <w:ilvl w:val="0"/>
          <w:numId w:val="42"/>
        </w:numPr>
      </w:pPr>
      <w:r w:rsidRPr="00C8471A">
        <w:t>If students have complex needs a Statement or EHCP review will be used as a transition planning meeting to which we will invite staff from both schools.</w:t>
      </w:r>
    </w:p>
    <w:p w14:paraId="47A9F146" w14:textId="77777777" w:rsidR="0005300A" w:rsidRPr="00C8471A" w:rsidRDefault="00204EF2" w:rsidP="00C56142">
      <w:pPr>
        <w:pStyle w:val="NoSpacing"/>
        <w:numPr>
          <w:ilvl w:val="0"/>
          <w:numId w:val="42"/>
        </w:numPr>
      </w:pPr>
      <w:r w:rsidRPr="00C8471A">
        <w:t>Transition between year groups and key stages within the school will be dealt with as part of our annual programme of transition.</w:t>
      </w:r>
    </w:p>
    <w:p w14:paraId="5D99E0BF" w14:textId="77777777" w:rsidR="0005300A" w:rsidRPr="00C8471A" w:rsidRDefault="00204EF2" w:rsidP="00C56142">
      <w:pPr>
        <w:pStyle w:val="NoSpacing"/>
        <w:numPr>
          <w:ilvl w:val="0"/>
          <w:numId w:val="42"/>
        </w:numPr>
      </w:pPr>
      <w:r w:rsidRPr="00C8471A">
        <w:t xml:space="preserve">At any point where a child with SEND is preparing to leave our school, we would seek to arrange additional visits for the child in question to support smooth transition.  </w:t>
      </w:r>
    </w:p>
    <w:p w14:paraId="734FE2D0" w14:textId="77777777" w:rsidR="0005300A" w:rsidRPr="00C8471A" w:rsidRDefault="0005300A" w:rsidP="00C8471A">
      <w:pPr>
        <w:pStyle w:val="NoSpacing"/>
      </w:pPr>
    </w:p>
    <w:p w14:paraId="5ABD4730" w14:textId="77777777" w:rsidR="0005300A" w:rsidRPr="00B64933" w:rsidRDefault="00204EF2" w:rsidP="00C8471A">
      <w:pPr>
        <w:pStyle w:val="NoSpacing"/>
        <w:rPr>
          <w:b/>
          <w:bCs/>
        </w:rPr>
      </w:pPr>
      <w:r w:rsidRPr="00B64933">
        <w:rPr>
          <w:b/>
          <w:bCs/>
          <w:lang w:val="de-DE"/>
        </w:rPr>
        <w:t>WHAT SPECIALIST SERVICES AND EXPERTISE ARE AVAILABLE AT OR ACCESSED BY THE SCHOOL?</w:t>
      </w:r>
    </w:p>
    <w:p w14:paraId="2A60DF92" w14:textId="78CAE75F" w:rsidR="0005300A" w:rsidRPr="00C8471A" w:rsidRDefault="00204EF2" w:rsidP="00C56142">
      <w:pPr>
        <w:pStyle w:val="NoSpacing"/>
        <w:numPr>
          <w:ilvl w:val="0"/>
          <w:numId w:val="43"/>
        </w:numPr>
      </w:pPr>
      <w:r w:rsidRPr="00C8471A">
        <w:t>Within the school we have a culture of sharing good practice and expertise; this enables us to ensure our staff have as much knowledge as possible within the field of supporting students with SEND</w:t>
      </w:r>
      <w:r w:rsidR="00A522EC">
        <w:t>.</w:t>
      </w:r>
    </w:p>
    <w:p w14:paraId="616DA36D" w14:textId="5500B4DD" w:rsidR="0005300A" w:rsidRPr="00C8471A" w:rsidRDefault="00204EF2" w:rsidP="00C56142">
      <w:pPr>
        <w:pStyle w:val="NoSpacing"/>
        <w:numPr>
          <w:ilvl w:val="0"/>
          <w:numId w:val="43"/>
        </w:numPr>
      </w:pPr>
      <w:r w:rsidRPr="00C8471A">
        <w:t>We have a Learning Support area that can facilitate students who need additional support or consideration, e.g. package timetables, mentoring, academic support.</w:t>
      </w:r>
    </w:p>
    <w:p w14:paraId="46238010" w14:textId="464D29CC" w:rsidR="0005300A" w:rsidRPr="00C8471A" w:rsidRDefault="00204EF2" w:rsidP="00C56142">
      <w:pPr>
        <w:pStyle w:val="NoSpacing"/>
        <w:numPr>
          <w:ilvl w:val="0"/>
          <w:numId w:val="43"/>
        </w:numPr>
      </w:pPr>
      <w:r w:rsidRPr="00C8471A">
        <w:t xml:space="preserve">As a school we work closely with any external agencies that we feel are relevant to supporting individual children’s’ needs within our school </w:t>
      </w:r>
      <w:r w:rsidR="00DC71A7" w:rsidRPr="00C8471A">
        <w:t>including:</w:t>
      </w:r>
      <w:r w:rsidRPr="00C8471A">
        <w:t xml:space="preserve"> GPs, school nurse, Child and Adolescent Mental Health Service</w:t>
      </w:r>
      <w:r w:rsidR="00B64933">
        <w:t xml:space="preserve"> (CAMHS)</w:t>
      </w:r>
      <w:r w:rsidRPr="00C8471A">
        <w:t xml:space="preserve">, clinical psychologist, </w:t>
      </w:r>
      <w:r w:rsidR="00DC71A7" w:rsidRPr="00C8471A">
        <w:t>pediatricians</w:t>
      </w:r>
      <w:r w:rsidRPr="00C8471A">
        <w:t>, speech and language therapists, occupational and physiotherapists, locality teams, social workers; educational psychologists and specialist advisory teachers.</w:t>
      </w:r>
    </w:p>
    <w:p w14:paraId="5AF4BC21" w14:textId="77777777" w:rsidR="0005300A" w:rsidRPr="00C8471A" w:rsidRDefault="0005300A" w:rsidP="00C8471A">
      <w:pPr>
        <w:pStyle w:val="NoSpacing"/>
      </w:pPr>
    </w:p>
    <w:p w14:paraId="79E2216A" w14:textId="77777777" w:rsidR="0005300A" w:rsidRPr="00B64933" w:rsidRDefault="00204EF2" w:rsidP="00C8471A">
      <w:pPr>
        <w:pStyle w:val="NoSpacing"/>
        <w:rPr>
          <w:b/>
          <w:bCs/>
        </w:rPr>
      </w:pPr>
      <w:r w:rsidRPr="00B64933">
        <w:rPr>
          <w:b/>
          <w:bCs/>
          <w:lang w:val="de-DE"/>
        </w:rPr>
        <w:t>WHAT TRAINING HAVE THE STAFF SUPPORTING CHILDREN WITH SEND HAD OR ARE CURRENTLY HAVING?</w:t>
      </w:r>
    </w:p>
    <w:p w14:paraId="7328E122" w14:textId="77777777" w:rsidR="0005300A" w:rsidRPr="00C8471A" w:rsidRDefault="00204EF2" w:rsidP="00C8471A">
      <w:pPr>
        <w:pStyle w:val="NoSpacing"/>
      </w:pPr>
      <w:r w:rsidRPr="00C8471A">
        <w:t>We look to ensure that we have a variety of skills among our staff body, in order to enable us to support children in the best possible way.</w:t>
      </w:r>
    </w:p>
    <w:p w14:paraId="0251B87C" w14:textId="77777777" w:rsidR="0005300A" w:rsidRPr="00C8471A" w:rsidRDefault="00204EF2" w:rsidP="00C8471A">
      <w:pPr>
        <w:pStyle w:val="NoSpacing"/>
      </w:pPr>
      <w:r w:rsidRPr="00C8471A">
        <w:t>Numerous types of training are undertaken, including:</w:t>
      </w:r>
    </w:p>
    <w:p w14:paraId="141F2C84" w14:textId="77777777" w:rsidR="0005300A" w:rsidRPr="00C8471A" w:rsidRDefault="00204EF2" w:rsidP="00C56142">
      <w:pPr>
        <w:pStyle w:val="NoSpacing"/>
        <w:numPr>
          <w:ilvl w:val="0"/>
          <w:numId w:val="44"/>
        </w:numPr>
      </w:pPr>
      <w:r w:rsidRPr="00C8471A">
        <w:t xml:space="preserve">Effective use of a TA in the classroom </w:t>
      </w:r>
    </w:p>
    <w:p w14:paraId="0AFB71AA" w14:textId="77777777" w:rsidR="0005300A" w:rsidRPr="00C8471A" w:rsidRDefault="00204EF2" w:rsidP="00C56142">
      <w:pPr>
        <w:pStyle w:val="NoSpacing"/>
        <w:numPr>
          <w:ilvl w:val="0"/>
          <w:numId w:val="44"/>
        </w:numPr>
      </w:pPr>
      <w:r w:rsidRPr="00C8471A">
        <w:t xml:space="preserve">Ways to Support Literacy Issues and Dyslexia in the Classroom </w:t>
      </w:r>
    </w:p>
    <w:p w14:paraId="6B444997" w14:textId="77777777" w:rsidR="0005300A" w:rsidRPr="00C8471A" w:rsidRDefault="00204EF2" w:rsidP="00C56142">
      <w:pPr>
        <w:pStyle w:val="NoSpacing"/>
        <w:numPr>
          <w:ilvl w:val="0"/>
          <w:numId w:val="44"/>
        </w:numPr>
      </w:pPr>
      <w:r w:rsidRPr="00C8471A">
        <w:t xml:space="preserve">ASD and Anxiety </w:t>
      </w:r>
    </w:p>
    <w:p w14:paraId="35C826F5" w14:textId="0E157F68" w:rsidR="0005300A" w:rsidRPr="00C8471A" w:rsidRDefault="00204EF2" w:rsidP="00C56142">
      <w:pPr>
        <w:pStyle w:val="NoSpacing"/>
        <w:numPr>
          <w:ilvl w:val="0"/>
          <w:numId w:val="44"/>
        </w:numPr>
      </w:pPr>
      <w:r w:rsidRPr="00C8471A">
        <w:t>CAMHS Emotional Wellbeing course</w:t>
      </w:r>
    </w:p>
    <w:p w14:paraId="69C56AE8" w14:textId="6A537844" w:rsidR="00752474" w:rsidRPr="00C8471A" w:rsidRDefault="00752474" w:rsidP="00C56142">
      <w:pPr>
        <w:pStyle w:val="NoSpacing"/>
        <w:numPr>
          <w:ilvl w:val="0"/>
          <w:numId w:val="44"/>
        </w:numPr>
      </w:pPr>
      <w:r w:rsidRPr="00C8471A">
        <w:t>Attachment needs</w:t>
      </w:r>
    </w:p>
    <w:p w14:paraId="5A8B5DA5" w14:textId="77777777" w:rsidR="0005300A" w:rsidRPr="00C8471A" w:rsidRDefault="00204EF2" w:rsidP="00C56142">
      <w:pPr>
        <w:pStyle w:val="NoSpacing"/>
        <w:numPr>
          <w:ilvl w:val="0"/>
          <w:numId w:val="44"/>
        </w:numPr>
      </w:pPr>
      <w:r w:rsidRPr="00C8471A">
        <w:t xml:space="preserve">Behaviour Management </w:t>
      </w:r>
    </w:p>
    <w:p w14:paraId="2F945836" w14:textId="77777777" w:rsidR="0005300A" w:rsidRPr="00C8471A" w:rsidRDefault="00204EF2" w:rsidP="00C56142">
      <w:pPr>
        <w:pStyle w:val="NoSpacing"/>
        <w:numPr>
          <w:ilvl w:val="0"/>
          <w:numId w:val="44"/>
        </w:numPr>
      </w:pPr>
      <w:r w:rsidRPr="00C8471A">
        <w:t xml:space="preserve">ELSA </w:t>
      </w:r>
    </w:p>
    <w:p w14:paraId="6908DE37" w14:textId="77777777" w:rsidR="0005300A" w:rsidRPr="00C8471A" w:rsidRDefault="00204EF2" w:rsidP="00C56142">
      <w:pPr>
        <w:pStyle w:val="NoSpacing"/>
        <w:numPr>
          <w:ilvl w:val="0"/>
          <w:numId w:val="44"/>
        </w:numPr>
      </w:pPr>
      <w:r w:rsidRPr="00C8471A">
        <w:t xml:space="preserve">Communication </w:t>
      </w:r>
    </w:p>
    <w:p w14:paraId="1441D294" w14:textId="77777777" w:rsidR="0005300A" w:rsidRPr="00C8471A" w:rsidRDefault="00204EF2" w:rsidP="00C56142">
      <w:pPr>
        <w:pStyle w:val="NoSpacing"/>
        <w:numPr>
          <w:ilvl w:val="0"/>
          <w:numId w:val="44"/>
        </w:numPr>
      </w:pPr>
      <w:r w:rsidRPr="00C8471A">
        <w:t xml:space="preserve">Inferential Comprehension Course </w:t>
      </w:r>
    </w:p>
    <w:p w14:paraId="3C382F23" w14:textId="77777777" w:rsidR="0005300A" w:rsidRPr="00C8471A" w:rsidRDefault="00204EF2" w:rsidP="00C56142">
      <w:pPr>
        <w:pStyle w:val="NoSpacing"/>
        <w:numPr>
          <w:ilvl w:val="0"/>
          <w:numId w:val="44"/>
        </w:numPr>
      </w:pPr>
      <w:r w:rsidRPr="00C8471A">
        <w:t xml:space="preserve">Attachment </w:t>
      </w:r>
    </w:p>
    <w:p w14:paraId="52753478" w14:textId="77777777" w:rsidR="0005300A" w:rsidRPr="00C8471A" w:rsidRDefault="00204EF2" w:rsidP="00C56142">
      <w:pPr>
        <w:pStyle w:val="NoSpacing"/>
        <w:numPr>
          <w:ilvl w:val="0"/>
          <w:numId w:val="44"/>
        </w:numPr>
      </w:pPr>
      <w:r w:rsidRPr="00C8471A">
        <w:t xml:space="preserve">Literacy Intervention Framework </w:t>
      </w:r>
    </w:p>
    <w:p w14:paraId="756AC8DD" w14:textId="77777777" w:rsidR="0005300A" w:rsidRPr="00C8471A" w:rsidRDefault="00204EF2" w:rsidP="00C56142">
      <w:pPr>
        <w:pStyle w:val="NoSpacing"/>
        <w:numPr>
          <w:ilvl w:val="0"/>
          <w:numId w:val="44"/>
        </w:numPr>
      </w:pPr>
      <w:r w:rsidRPr="00C8471A">
        <w:t>Numeracy Intervention – Success@arithm</w:t>
      </w:r>
      <w:r w:rsidR="00280602" w:rsidRPr="00C8471A">
        <w:t>e</w:t>
      </w:r>
      <w:r w:rsidRPr="00C8471A">
        <w:t>tic</w:t>
      </w:r>
    </w:p>
    <w:p w14:paraId="1CA8CE5B" w14:textId="77777777" w:rsidR="0005300A" w:rsidRPr="00C8471A" w:rsidRDefault="00204EF2" w:rsidP="00C56142">
      <w:pPr>
        <w:pStyle w:val="NoSpacing"/>
        <w:numPr>
          <w:ilvl w:val="0"/>
          <w:numId w:val="44"/>
        </w:numPr>
      </w:pPr>
      <w:r w:rsidRPr="00C8471A">
        <w:t xml:space="preserve">Learn to Move, Move to Learn </w:t>
      </w:r>
    </w:p>
    <w:p w14:paraId="13014D81" w14:textId="77777777" w:rsidR="0005300A" w:rsidRPr="00C8471A" w:rsidRDefault="00204EF2" w:rsidP="00C56142">
      <w:pPr>
        <w:pStyle w:val="NoSpacing"/>
        <w:numPr>
          <w:ilvl w:val="0"/>
          <w:numId w:val="44"/>
        </w:numPr>
      </w:pPr>
      <w:r w:rsidRPr="00C8471A">
        <w:t xml:space="preserve">The school also operates an internal training programme for support staff. </w:t>
      </w:r>
    </w:p>
    <w:p w14:paraId="34071C8A" w14:textId="77777777" w:rsidR="0005300A" w:rsidRPr="00C8471A" w:rsidRDefault="00204EF2" w:rsidP="00C56142">
      <w:pPr>
        <w:pStyle w:val="NoSpacing"/>
        <w:numPr>
          <w:ilvl w:val="0"/>
          <w:numId w:val="44"/>
        </w:numPr>
      </w:pPr>
      <w:r w:rsidRPr="00C8471A">
        <w:t>Whole group sessions or bespoke support based upon the needs of both children and staff, are timetabled on a weekly basis.</w:t>
      </w:r>
    </w:p>
    <w:p w14:paraId="0FDEA956" w14:textId="17276A37" w:rsidR="0005300A" w:rsidRDefault="0005300A" w:rsidP="00C8471A">
      <w:pPr>
        <w:pStyle w:val="NoSpacing"/>
      </w:pPr>
    </w:p>
    <w:p w14:paraId="5E2270FB" w14:textId="6A554571" w:rsidR="0009720E" w:rsidRDefault="0009720E" w:rsidP="00C8471A">
      <w:pPr>
        <w:pStyle w:val="NoSpacing"/>
      </w:pPr>
    </w:p>
    <w:p w14:paraId="6455EE58" w14:textId="154A7B76" w:rsidR="0009720E" w:rsidRPr="004E7F60" w:rsidRDefault="004E7F60" w:rsidP="00C8471A">
      <w:pPr>
        <w:pStyle w:val="NoSpacing"/>
        <w:rPr>
          <w:b/>
          <w:bCs/>
        </w:rPr>
      </w:pPr>
      <w:r w:rsidRPr="004E7F60">
        <w:rPr>
          <w:b/>
          <w:bCs/>
        </w:rPr>
        <w:t>WHAT ARRANGEMENTS ARE IN PLACE FOR HANDLING COMPLAINTS REGARDING SEND PROVISION?</w:t>
      </w:r>
      <w:r w:rsidRPr="004E7F60">
        <w:rPr>
          <w:b/>
          <w:bCs/>
        </w:rPr>
        <w:tab/>
      </w:r>
    </w:p>
    <w:p w14:paraId="656F202D" w14:textId="61E0AF47" w:rsidR="004E7F60" w:rsidRPr="00C8471A" w:rsidRDefault="004E7F60" w:rsidP="00C8471A">
      <w:pPr>
        <w:pStyle w:val="NoSpacing"/>
      </w:pPr>
      <w:r>
        <w:t>We always respond to concerns raised. There is a complaints policy on the School website should this be required.</w:t>
      </w:r>
    </w:p>
    <w:sectPr w:rsidR="004E7F60" w:rsidRPr="00C8471A" w:rsidSect="00DC0948">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47AC0" w14:textId="77777777" w:rsidR="000F1D5A" w:rsidRDefault="000F1D5A" w:rsidP="0005300A">
      <w:r>
        <w:separator/>
      </w:r>
    </w:p>
  </w:endnote>
  <w:endnote w:type="continuationSeparator" w:id="0">
    <w:p w14:paraId="3478ADA0" w14:textId="77777777" w:rsidR="000F1D5A" w:rsidRDefault="000F1D5A" w:rsidP="0005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7E8A8" w14:textId="77777777" w:rsidR="000F1D5A" w:rsidRDefault="000F1D5A" w:rsidP="0005300A">
      <w:r>
        <w:separator/>
      </w:r>
    </w:p>
  </w:footnote>
  <w:footnote w:type="continuationSeparator" w:id="0">
    <w:p w14:paraId="7AAB692F" w14:textId="77777777" w:rsidR="000F1D5A" w:rsidRDefault="000F1D5A" w:rsidP="00053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238"/>
    <w:multiLevelType w:val="hybridMultilevel"/>
    <w:tmpl w:val="DC5EA91A"/>
    <w:styleLink w:val="ImportedStyle2"/>
    <w:lvl w:ilvl="0" w:tplc="DA1048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4CE6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0F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6E10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42C1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045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20A8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A866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2F1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7A5502"/>
    <w:multiLevelType w:val="hybridMultilevel"/>
    <w:tmpl w:val="F7D4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34F6"/>
    <w:multiLevelType w:val="hybridMultilevel"/>
    <w:tmpl w:val="DC5EA91A"/>
    <w:numStyleLink w:val="ImportedStyle2"/>
  </w:abstractNum>
  <w:abstractNum w:abstractNumId="3" w15:restartNumberingAfterBreak="0">
    <w:nsid w:val="08B66E9F"/>
    <w:multiLevelType w:val="hybridMultilevel"/>
    <w:tmpl w:val="2C262B20"/>
    <w:styleLink w:val="ImportedStyle10"/>
    <w:lvl w:ilvl="0" w:tplc="EC368F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E0A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060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D241E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622D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9A50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5E48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684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7A6D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803275"/>
    <w:multiLevelType w:val="hybridMultilevel"/>
    <w:tmpl w:val="6472C872"/>
    <w:numStyleLink w:val="ImportedStyle7"/>
  </w:abstractNum>
  <w:abstractNum w:abstractNumId="5" w15:restartNumberingAfterBreak="0">
    <w:nsid w:val="0D496037"/>
    <w:multiLevelType w:val="hybridMultilevel"/>
    <w:tmpl w:val="CD746C62"/>
    <w:styleLink w:val="ImportedStyle1"/>
    <w:lvl w:ilvl="0" w:tplc="6DFCC7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9257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4608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C0B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62B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BC6F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7417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F0FB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0079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017141"/>
    <w:multiLevelType w:val="hybridMultilevel"/>
    <w:tmpl w:val="25F21A38"/>
    <w:styleLink w:val="ImportedStyle14"/>
    <w:lvl w:ilvl="0" w:tplc="4E2EA4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4CD6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4A94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2B4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7487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16E4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C670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0E6F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98C7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AD3A61"/>
    <w:multiLevelType w:val="hybridMultilevel"/>
    <w:tmpl w:val="8114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A1511"/>
    <w:multiLevelType w:val="hybridMultilevel"/>
    <w:tmpl w:val="2E32903C"/>
    <w:numStyleLink w:val="ImportedStyle8"/>
  </w:abstractNum>
  <w:abstractNum w:abstractNumId="9" w15:restartNumberingAfterBreak="0">
    <w:nsid w:val="148565F9"/>
    <w:multiLevelType w:val="hybridMultilevel"/>
    <w:tmpl w:val="829ACA14"/>
    <w:styleLink w:val="ImportedStyle6"/>
    <w:lvl w:ilvl="0" w:tplc="0B66C58C">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66156">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62103C">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D6FC60">
      <w:start w:val="1"/>
      <w:numFmt w:val="bullet"/>
      <w:lvlText w:val="·"/>
      <w:lvlJc w:val="left"/>
      <w:pPr>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7C3990">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DCB81E">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46D4BA">
      <w:start w:val="1"/>
      <w:numFmt w:val="bullet"/>
      <w:lvlText w:val="·"/>
      <w:lvlJc w:val="left"/>
      <w:pPr>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BE3A40">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C04DB2">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89A79CB"/>
    <w:multiLevelType w:val="hybridMultilevel"/>
    <w:tmpl w:val="51FE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C5E33"/>
    <w:multiLevelType w:val="hybridMultilevel"/>
    <w:tmpl w:val="2172571A"/>
    <w:styleLink w:val="ImportedStyle5"/>
    <w:lvl w:ilvl="0" w:tplc="FCD891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E8B0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0C6D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58B68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7897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017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B2E1E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8245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AB0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1CA0A28"/>
    <w:multiLevelType w:val="hybridMultilevel"/>
    <w:tmpl w:val="8B70EFD0"/>
    <w:styleLink w:val="ImportedStyle9"/>
    <w:lvl w:ilvl="0" w:tplc="7EB0AC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68AE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2E5F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1409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2E2D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0B0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B46E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E00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6CC5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CD738F"/>
    <w:multiLevelType w:val="hybridMultilevel"/>
    <w:tmpl w:val="829ACA14"/>
    <w:numStyleLink w:val="ImportedStyle6"/>
  </w:abstractNum>
  <w:abstractNum w:abstractNumId="14" w15:restartNumberingAfterBreak="0">
    <w:nsid w:val="316C2D56"/>
    <w:multiLevelType w:val="hybridMultilevel"/>
    <w:tmpl w:val="F98E43D6"/>
    <w:styleLink w:val="ImportedStyle13"/>
    <w:lvl w:ilvl="0" w:tplc="CFA6CD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CD9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F422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A640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E82B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B6D2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F09E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ABF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1222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9A2896"/>
    <w:multiLevelType w:val="hybridMultilevel"/>
    <w:tmpl w:val="7DE2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B5719"/>
    <w:multiLevelType w:val="hybridMultilevel"/>
    <w:tmpl w:val="2B32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57A54"/>
    <w:multiLevelType w:val="hybridMultilevel"/>
    <w:tmpl w:val="8F8C6A84"/>
    <w:styleLink w:val="ImportedStyle3"/>
    <w:lvl w:ilvl="0" w:tplc="B396F0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0839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38FB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246C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289F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61B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ECA8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1655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D037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65D6E"/>
    <w:multiLevelType w:val="hybridMultilevel"/>
    <w:tmpl w:val="2FFAF9E0"/>
    <w:numStyleLink w:val="ImportedStyle12"/>
  </w:abstractNum>
  <w:abstractNum w:abstractNumId="19" w15:restartNumberingAfterBreak="0">
    <w:nsid w:val="364E1BBF"/>
    <w:multiLevelType w:val="hybridMultilevel"/>
    <w:tmpl w:val="6F8CD0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A81570"/>
    <w:multiLevelType w:val="hybridMultilevel"/>
    <w:tmpl w:val="2FFAF9E0"/>
    <w:styleLink w:val="ImportedStyle12"/>
    <w:lvl w:ilvl="0" w:tplc="ADF2CF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084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161C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7E27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64F8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2C72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08D7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58D1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A62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F64004"/>
    <w:multiLevelType w:val="hybridMultilevel"/>
    <w:tmpl w:val="2E32903C"/>
    <w:styleLink w:val="ImportedStyle8"/>
    <w:lvl w:ilvl="0" w:tplc="BB1000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DC91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C895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3256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C8BA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EC20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66FF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F6FC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12E9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8380990"/>
    <w:multiLevelType w:val="hybridMultilevel"/>
    <w:tmpl w:val="1B6A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B4008"/>
    <w:multiLevelType w:val="hybridMultilevel"/>
    <w:tmpl w:val="4BA0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FC7B4C"/>
    <w:multiLevelType w:val="hybridMultilevel"/>
    <w:tmpl w:val="2C262B20"/>
    <w:numStyleLink w:val="ImportedStyle10"/>
  </w:abstractNum>
  <w:abstractNum w:abstractNumId="25" w15:restartNumberingAfterBreak="0">
    <w:nsid w:val="3FDD420A"/>
    <w:multiLevelType w:val="hybridMultilevel"/>
    <w:tmpl w:val="8BD6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60A5A"/>
    <w:multiLevelType w:val="hybridMultilevel"/>
    <w:tmpl w:val="C038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9558B"/>
    <w:multiLevelType w:val="hybridMultilevel"/>
    <w:tmpl w:val="CD746C62"/>
    <w:numStyleLink w:val="ImportedStyle1"/>
  </w:abstractNum>
  <w:abstractNum w:abstractNumId="28" w15:restartNumberingAfterBreak="0">
    <w:nsid w:val="4A073DDC"/>
    <w:multiLevelType w:val="hybridMultilevel"/>
    <w:tmpl w:val="DBB09C14"/>
    <w:styleLink w:val="ImportedStyle11"/>
    <w:lvl w:ilvl="0" w:tplc="1D0841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FA09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AED6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AEEC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E0AE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9EE4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47F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CE0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ACC7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3E3180"/>
    <w:multiLevelType w:val="hybridMultilevel"/>
    <w:tmpl w:val="DBB09C14"/>
    <w:numStyleLink w:val="ImportedStyle11"/>
  </w:abstractNum>
  <w:abstractNum w:abstractNumId="30" w15:restartNumberingAfterBreak="0">
    <w:nsid w:val="59880F22"/>
    <w:multiLevelType w:val="hybridMultilevel"/>
    <w:tmpl w:val="81B440E0"/>
    <w:styleLink w:val="ImportedStyle4"/>
    <w:lvl w:ilvl="0" w:tplc="21F40E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E600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EA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0A4B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461C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C6D3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965A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20B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ACBA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B727B5A"/>
    <w:multiLevelType w:val="hybridMultilevel"/>
    <w:tmpl w:val="0C52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816ED"/>
    <w:multiLevelType w:val="hybridMultilevel"/>
    <w:tmpl w:val="4E5A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A5FEA"/>
    <w:multiLevelType w:val="hybridMultilevel"/>
    <w:tmpl w:val="25F21A38"/>
    <w:numStyleLink w:val="ImportedStyle14"/>
  </w:abstractNum>
  <w:abstractNum w:abstractNumId="34" w15:restartNumberingAfterBreak="0">
    <w:nsid w:val="61861B41"/>
    <w:multiLevelType w:val="hybridMultilevel"/>
    <w:tmpl w:val="6472C872"/>
    <w:styleLink w:val="ImportedStyle7"/>
    <w:lvl w:ilvl="0" w:tplc="3C8675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FCEE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5E88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F65B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58BB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BCE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0C12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27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E6D3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45B428E"/>
    <w:multiLevelType w:val="hybridMultilevel"/>
    <w:tmpl w:val="F98E43D6"/>
    <w:numStyleLink w:val="ImportedStyle13"/>
  </w:abstractNum>
  <w:abstractNum w:abstractNumId="36" w15:restartNumberingAfterBreak="0">
    <w:nsid w:val="6CD859F5"/>
    <w:multiLevelType w:val="hybridMultilevel"/>
    <w:tmpl w:val="8B70EFD0"/>
    <w:numStyleLink w:val="ImportedStyle9"/>
  </w:abstractNum>
  <w:abstractNum w:abstractNumId="37" w15:restartNumberingAfterBreak="0">
    <w:nsid w:val="6E3E0D33"/>
    <w:multiLevelType w:val="hybridMultilevel"/>
    <w:tmpl w:val="8F8C6A84"/>
    <w:numStyleLink w:val="ImportedStyle3"/>
  </w:abstractNum>
  <w:abstractNum w:abstractNumId="38" w15:restartNumberingAfterBreak="0">
    <w:nsid w:val="70DC7D12"/>
    <w:multiLevelType w:val="hybridMultilevel"/>
    <w:tmpl w:val="F73A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E0D35"/>
    <w:multiLevelType w:val="hybridMultilevel"/>
    <w:tmpl w:val="A81A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B28A3"/>
    <w:multiLevelType w:val="hybridMultilevel"/>
    <w:tmpl w:val="642C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BF1AD6"/>
    <w:multiLevelType w:val="hybridMultilevel"/>
    <w:tmpl w:val="56205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61A06"/>
    <w:multiLevelType w:val="hybridMultilevel"/>
    <w:tmpl w:val="81B440E0"/>
    <w:numStyleLink w:val="ImportedStyle4"/>
  </w:abstractNum>
  <w:abstractNum w:abstractNumId="43" w15:restartNumberingAfterBreak="0">
    <w:nsid w:val="7FFD65DC"/>
    <w:multiLevelType w:val="hybridMultilevel"/>
    <w:tmpl w:val="2172571A"/>
    <w:numStyleLink w:val="ImportedStyle5"/>
  </w:abstractNum>
  <w:num w:numId="1">
    <w:abstractNumId w:val="5"/>
  </w:num>
  <w:num w:numId="2">
    <w:abstractNumId w:val="27"/>
  </w:num>
  <w:num w:numId="3">
    <w:abstractNumId w:val="0"/>
  </w:num>
  <w:num w:numId="4">
    <w:abstractNumId w:val="2"/>
  </w:num>
  <w:num w:numId="5">
    <w:abstractNumId w:val="17"/>
  </w:num>
  <w:num w:numId="6">
    <w:abstractNumId w:val="37"/>
  </w:num>
  <w:num w:numId="7">
    <w:abstractNumId w:val="30"/>
  </w:num>
  <w:num w:numId="8">
    <w:abstractNumId w:val="42"/>
  </w:num>
  <w:num w:numId="9">
    <w:abstractNumId w:val="11"/>
  </w:num>
  <w:num w:numId="10">
    <w:abstractNumId w:val="43"/>
  </w:num>
  <w:num w:numId="11">
    <w:abstractNumId w:val="9"/>
  </w:num>
  <w:num w:numId="12">
    <w:abstractNumId w:val="13"/>
  </w:num>
  <w:num w:numId="13">
    <w:abstractNumId w:val="34"/>
  </w:num>
  <w:num w:numId="14">
    <w:abstractNumId w:val="4"/>
  </w:num>
  <w:num w:numId="15">
    <w:abstractNumId w:val="21"/>
  </w:num>
  <w:num w:numId="16">
    <w:abstractNumId w:val="8"/>
  </w:num>
  <w:num w:numId="17">
    <w:abstractNumId w:val="12"/>
  </w:num>
  <w:num w:numId="18">
    <w:abstractNumId w:val="36"/>
  </w:num>
  <w:num w:numId="19">
    <w:abstractNumId w:val="3"/>
  </w:num>
  <w:num w:numId="20">
    <w:abstractNumId w:val="24"/>
  </w:num>
  <w:num w:numId="21">
    <w:abstractNumId w:val="28"/>
  </w:num>
  <w:num w:numId="22">
    <w:abstractNumId w:val="29"/>
  </w:num>
  <w:num w:numId="23">
    <w:abstractNumId w:val="20"/>
  </w:num>
  <w:num w:numId="24">
    <w:abstractNumId w:val="18"/>
  </w:num>
  <w:num w:numId="25">
    <w:abstractNumId w:val="14"/>
  </w:num>
  <w:num w:numId="26">
    <w:abstractNumId w:val="35"/>
  </w:num>
  <w:num w:numId="27">
    <w:abstractNumId w:val="6"/>
  </w:num>
  <w:num w:numId="28">
    <w:abstractNumId w:val="33"/>
  </w:num>
  <w:num w:numId="29">
    <w:abstractNumId w:val="23"/>
  </w:num>
  <w:num w:numId="30">
    <w:abstractNumId w:val="19"/>
  </w:num>
  <w:num w:numId="31">
    <w:abstractNumId w:val="41"/>
  </w:num>
  <w:num w:numId="32">
    <w:abstractNumId w:val="32"/>
  </w:num>
  <w:num w:numId="33">
    <w:abstractNumId w:val="10"/>
  </w:num>
  <w:num w:numId="34">
    <w:abstractNumId w:val="7"/>
  </w:num>
  <w:num w:numId="35">
    <w:abstractNumId w:val="15"/>
  </w:num>
  <w:num w:numId="36">
    <w:abstractNumId w:val="40"/>
  </w:num>
  <w:num w:numId="37">
    <w:abstractNumId w:val="26"/>
  </w:num>
  <w:num w:numId="38">
    <w:abstractNumId w:val="38"/>
  </w:num>
  <w:num w:numId="39">
    <w:abstractNumId w:val="31"/>
  </w:num>
  <w:num w:numId="40">
    <w:abstractNumId w:val="1"/>
  </w:num>
  <w:num w:numId="41">
    <w:abstractNumId w:val="39"/>
  </w:num>
  <w:num w:numId="42">
    <w:abstractNumId w:val="16"/>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0A"/>
    <w:rsid w:val="000231AD"/>
    <w:rsid w:val="0005300A"/>
    <w:rsid w:val="00053CE5"/>
    <w:rsid w:val="0009720E"/>
    <w:rsid w:val="000B0865"/>
    <w:rsid w:val="000C1151"/>
    <w:rsid w:val="000F1D5A"/>
    <w:rsid w:val="00153C11"/>
    <w:rsid w:val="001622BF"/>
    <w:rsid w:val="00166FAF"/>
    <w:rsid w:val="00187559"/>
    <w:rsid w:val="001C2E09"/>
    <w:rsid w:val="001C31B2"/>
    <w:rsid w:val="001C57DC"/>
    <w:rsid w:val="00204EF2"/>
    <w:rsid w:val="00275D25"/>
    <w:rsid w:val="00280602"/>
    <w:rsid w:val="002A57C5"/>
    <w:rsid w:val="002B6240"/>
    <w:rsid w:val="002C0BED"/>
    <w:rsid w:val="002D57D1"/>
    <w:rsid w:val="002E0965"/>
    <w:rsid w:val="0039676C"/>
    <w:rsid w:val="00396AFC"/>
    <w:rsid w:val="003A511B"/>
    <w:rsid w:val="004021A1"/>
    <w:rsid w:val="004070E6"/>
    <w:rsid w:val="004428CC"/>
    <w:rsid w:val="004E7F60"/>
    <w:rsid w:val="00591C87"/>
    <w:rsid w:val="00602423"/>
    <w:rsid w:val="006658FF"/>
    <w:rsid w:val="00752474"/>
    <w:rsid w:val="00784C11"/>
    <w:rsid w:val="007A223D"/>
    <w:rsid w:val="007A45CD"/>
    <w:rsid w:val="0083721B"/>
    <w:rsid w:val="00854490"/>
    <w:rsid w:val="00855C39"/>
    <w:rsid w:val="00876306"/>
    <w:rsid w:val="008817E1"/>
    <w:rsid w:val="00886157"/>
    <w:rsid w:val="008F6AF8"/>
    <w:rsid w:val="00924DC9"/>
    <w:rsid w:val="009C39F1"/>
    <w:rsid w:val="00A240D5"/>
    <w:rsid w:val="00A522EC"/>
    <w:rsid w:val="00AA6051"/>
    <w:rsid w:val="00B21CD5"/>
    <w:rsid w:val="00B64933"/>
    <w:rsid w:val="00B651E6"/>
    <w:rsid w:val="00B76F6C"/>
    <w:rsid w:val="00BE1AAF"/>
    <w:rsid w:val="00BE56F0"/>
    <w:rsid w:val="00C1005E"/>
    <w:rsid w:val="00C44DA5"/>
    <w:rsid w:val="00C56142"/>
    <w:rsid w:val="00C8471A"/>
    <w:rsid w:val="00CE17DE"/>
    <w:rsid w:val="00D54BC6"/>
    <w:rsid w:val="00D816FA"/>
    <w:rsid w:val="00DA2FC9"/>
    <w:rsid w:val="00DC0948"/>
    <w:rsid w:val="00DC71A7"/>
    <w:rsid w:val="00DF32B8"/>
    <w:rsid w:val="00DF7648"/>
    <w:rsid w:val="00E71A49"/>
    <w:rsid w:val="00F3439F"/>
    <w:rsid w:val="00F420C7"/>
    <w:rsid w:val="00F56E15"/>
    <w:rsid w:val="00F64E60"/>
    <w:rsid w:val="00FA0AE7"/>
    <w:rsid w:val="00FA459E"/>
    <w:rsid w:val="00FF32CF"/>
    <w:rsid w:val="00FF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5095"/>
  <w15:docId w15:val="{0485997A-5809-4080-984A-264AB8ED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530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00A"/>
    <w:rPr>
      <w:u w:val="single"/>
    </w:rPr>
  </w:style>
  <w:style w:type="paragraph" w:customStyle="1" w:styleId="HeaderFooter">
    <w:name w:val="Header &amp; Footer"/>
    <w:rsid w:val="0005300A"/>
    <w:pPr>
      <w:tabs>
        <w:tab w:val="right" w:pos="9020"/>
      </w:tabs>
    </w:pPr>
    <w:rPr>
      <w:rFonts w:ascii="Helvetica Neue" w:hAnsi="Helvetica Neue" w:cs="Arial Unicode MS"/>
      <w:color w:val="000000"/>
      <w:sz w:val="24"/>
      <w:szCs w:val="24"/>
    </w:rPr>
  </w:style>
  <w:style w:type="paragraph" w:customStyle="1" w:styleId="Body">
    <w:name w:val="Body"/>
    <w:rsid w:val="0005300A"/>
    <w:rPr>
      <w:rFonts w:cs="Arial Unicode MS"/>
      <w:color w:val="000000"/>
      <w:sz w:val="24"/>
      <w:szCs w:val="24"/>
      <w:u w:color="000000"/>
      <w:lang w:val="en-US"/>
    </w:rPr>
  </w:style>
  <w:style w:type="numbering" w:customStyle="1" w:styleId="ImportedStyle1">
    <w:name w:val="Imported Style 1"/>
    <w:rsid w:val="0005300A"/>
    <w:pPr>
      <w:numPr>
        <w:numId w:val="1"/>
      </w:numPr>
    </w:pPr>
  </w:style>
  <w:style w:type="numbering" w:customStyle="1" w:styleId="ImportedStyle2">
    <w:name w:val="Imported Style 2"/>
    <w:rsid w:val="0005300A"/>
    <w:pPr>
      <w:numPr>
        <w:numId w:val="3"/>
      </w:numPr>
    </w:pPr>
  </w:style>
  <w:style w:type="numbering" w:customStyle="1" w:styleId="ImportedStyle3">
    <w:name w:val="Imported Style 3"/>
    <w:rsid w:val="0005300A"/>
    <w:pPr>
      <w:numPr>
        <w:numId w:val="5"/>
      </w:numPr>
    </w:pPr>
  </w:style>
  <w:style w:type="numbering" w:customStyle="1" w:styleId="ImportedStyle4">
    <w:name w:val="Imported Style 4"/>
    <w:rsid w:val="0005300A"/>
    <w:pPr>
      <w:numPr>
        <w:numId w:val="7"/>
      </w:numPr>
    </w:pPr>
  </w:style>
  <w:style w:type="numbering" w:customStyle="1" w:styleId="ImportedStyle5">
    <w:name w:val="Imported Style 5"/>
    <w:rsid w:val="0005300A"/>
    <w:pPr>
      <w:numPr>
        <w:numId w:val="9"/>
      </w:numPr>
    </w:pPr>
  </w:style>
  <w:style w:type="numbering" w:customStyle="1" w:styleId="ImportedStyle6">
    <w:name w:val="Imported Style 6"/>
    <w:rsid w:val="0005300A"/>
    <w:pPr>
      <w:numPr>
        <w:numId w:val="11"/>
      </w:numPr>
    </w:pPr>
  </w:style>
  <w:style w:type="numbering" w:customStyle="1" w:styleId="ImportedStyle7">
    <w:name w:val="Imported Style 7"/>
    <w:rsid w:val="0005300A"/>
    <w:pPr>
      <w:numPr>
        <w:numId w:val="13"/>
      </w:numPr>
    </w:pPr>
  </w:style>
  <w:style w:type="numbering" w:customStyle="1" w:styleId="ImportedStyle8">
    <w:name w:val="Imported Style 8"/>
    <w:rsid w:val="0005300A"/>
    <w:pPr>
      <w:numPr>
        <w:numId w:val="15"/>
      </w:numPr>
    </w:pPr>
  </w:style>
  <w:style w:type="numbering" w:customStyle="1" w:styleId="ImportedStyle9">
    <w:name w:val="Imported Style 9"/>
    <w:rsid w:val="0005300A"/>
    <w:pPr>
      <w:numPr>
        <w:numId w:val="17"/>
      </w:numPr>
    </w:pPr>
  </w:style>
  <w:style w:type="numbering" w:customStyle="1" w:styleId="ImportedStyle10">
    <w:name w:val="Imported Style 10"/>
    <w:rsid w:val="0005300A"/>
    <w:pPr>
      <w:numPr>
        <w:numId w:val="19"/>
      </w:numPr>
    </w:pPr>
  </w:style>
  <w:style w:type="numbering" w:customStyle="1" w:styleId="ImportedStyle11">
    <w:name w:val="Imported Style 11"/>
    <w:rsid w:val="0005300A"/>
    <w:pPr>
      <w:numPr>
        <w:numId w:val="21"/>
      </w:numPr>
    </w:pPr>
  </w:style>
  <w:style w:type="numbering" w:customStyle="1" w:styleId="ImportedStyle12">
    <w:name w:val="Imported Style 12"/>
    <w:rsid w:val="0005300A"/>
    <w:pPr>
      <w:numPr>
        <w:numId w:val="23"/>
      </w:numPr>
    </w:pPr>
  </w:style>
  <w:style w:type="numbering" w:customStyle="1" w:styleId="ImportedStyle13">
    <w:name w:val="Imported Style 13"/>
    <w:rsid w:val="0005300A"/>
    <w:pPr>
      <w:numPr>
        <w:numId w:val="25"/>
      </w:numPr>
    </w:pPr>
  </w:style>
  <w:style w:type="numbering" w:customStyle="1" w:styleId="ImportedStyle14">
    <w:name w:val="Imported Style 14"/>
    <w:rsid w:val="0005300A"/>
    <w:pPr>
      <w:numPr>
        <w:numId w:val="27"/>
      </w:numPr>
    </w:pPr>
  </w:style>
  <w:style w:type="paragraph" w:customStyle="1" w:styleId="Glossary">
    <w:name w:val="Glossary"/>
    <w:rsid w:val="0005300A"/>
    <w:rPr>
      <w:rFonts w:ascii="Arial" w:hAnsi="Arial" w:cs="Arial Unicode MS"/>
      <w:color w:val="000000"/>
      <w:sz w:val="24"/>
      <w:szCs w:val="24"/>
      <w:u w:color="000000"/>
      <w:lang w:val="en-US"/>
    </w:rPr>
  </w:style>
  <w:style w:type="paragraph" w:styleId="ListParagraph">
    <w:name w:val="List Paragraph"/>
    <w:basedOn w:val="Normal"/>
    <w:uiPriority w:val="34"/>
    <w:qFormat/>
    <w:rsid w:val="00FF3D6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paragraph" w:styleId="Header">
    <w:name w:val="header"/>
    <w:basedOn w:val="Normal"/>
    <w:link w:val="HeaderChar"/>
    <w:uiPriority w:val="99"/>
    <w:unhideWhenUsed/>
    <w:rsid w:val="00FF3D6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Calibri" w:eastAsia="Calibri" w:hAnsi="Calibri"/>
      <w:sz w:val="22"/>
      <w:szCs w:val="22"/>
      <w:bdr w:val="none" w:sz="0" w:space="0" w:color="auto"/>
      <w:lang w:val="en-GB"/>
    </w:rPr>
  </w:style>
  <w:style w:type="character" w:customStyle="1" w:styleId="HeaderChar">
    <w:name w:val="Header Char"/>
    <w:basedOn w:val="DefaultParagraphFont"/>
    <w:link w:val="Header"/>
    <w:uiPriority w:val="99"/>
    <w:rsid w:val="00FF3D6D"/>
    <w:rPr>
      <w:rFonts w:ascii="Calibri" w:eastAsia="Calibri" w:hAnsi="Calibri"/>
      <w:sz w:val="22"/>
      <w:szCs w:val="22"/>
      <w:bdr w:val="none" w:sz="0" w:space="0" w:color="auto"/>
      <w:lang w:eastAsia="en-US"/>
    </w:rPr>
  </w:style>
  <w:style w:type="paragraph" w:styleId="Footer">
    <w:name w:val="footer"/>
    <w:basedOn w:val="Normal"/>
    <w:link w:val="FooterChar"/>
    <w:uiPriority w:val="99"/>
    <w:unhideWhenUsed/>
    <w:rsid w:val="003A511B"/>
    <w:pPr>
      <w:tabs>
        <w:tab w:val="center" w:pos="4513"/>
        <w:tab w:val="right" w:pos="9026"/>
      </w:tabs>
    </w:pPr>
  </w:style>
  <w:style w:type="character" w:customStyle="1" w:styleId="FooterChar">
    <w:name w:val="Footer Char"/>
    <w:basedOn w:val="DefaultParagraphFont"/>
    <w:link w:val="Footer"/>
    <w:uiPriority w:val="99"/>
    <w:rsid w:val="003A511B"/>
    <w:rPr>
      <w:sz w:val="24"/>
      <w:szCs w:val="24"/>
      <w:lang w:val="en-US" w:eastAsia="en-US"/>
    </w:rPr>
  </w:style>
  <w:style w:type="paragraph" w:styleId="NoSpacing">
    <w:name w:val="No Spacing"/>
    <w:uiPriority w:val="1"/>
    <w:qFormat/>
    <w:rsid w:val="00C8471A"/>
    <w:rPr>
      <w:sz w:val="24"/>
      <w:szCs w:val="24"/>
      <w:lang w:val="en-US" w:eastAsia="en-US"/>
    </w:rPr>
  </w:style>
  <w:style w:type="character" w:styleId="UnresolvedMention">
    <w:name w:val="Unresolved Mention"/>
    <w:basedOn w:val="DefaultParagraphFont"/>
    <w:uiPriority w:val="99"/>
    <w:semiHidden/>
    <w:unhideWhenUsed/>
    <w:rsid w:val="00C84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38997">
      <w:bodyDiv w:val="1"/>
      <w:marLeft w:val="0"/>
      <w:marRight w:val="0"/>
      <w:marTop w:val="0"/>
      <w:marBottom w:val="0"/>
      <w:divBdr>
        <w:top w:val="none" w:sz="0" w:space="0" w:color="auto"/>
        <w:left w:val="none" w:sz="0" w:space="0" w:color="auto"/>
        <w:bottom w:val="none" w:sz="0" w:space="0" w:color="auto"/>
        <w:right w:val="none" w:sz="0" w:space="0" w:color="auto"/>
      </w:divBdr>
    </w:div>
    <w:div w:id="1356231068">
      <w:bodyDiv w:val="1"/>
      <w:marLeft w:val="0"/>
      <w:marRight w:val="0"/>
      <w:marTop w:val="0"/>
      <w:marBottom w:val="0"/>
      <w:divBdr>
        <w:top w:val="none" w:sz="0" w:space="0" w:color="auto"/>
        <w:left w:val="none" w:sz="0" w:space="0" w:color="auto"/>
        <w:bottom w:val="none" w:sz="0" w:space="0" w:color="auto"/>
        <w:right w:val="none" w:sz="0" w:space="0" w:color="auto"/>
      </w:divBdr>
    </w:div>
    <w:div w:id="2049254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owley@blandford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Blandford School</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Cowley (Mrs)</dc:creator>
  <cp:lastModifiedBy>Cowley (Mrs)</cp:lastModifiedBy>
  <cp:revision>14</cp:revision>
  <dcterms:created xsi:type="dcterms:W3CDTF">2019-08-22T13:45:00Z</dcterms:created>
  <dcterms:modified xsi:type="dcterms:W3CDTF">2019-10-02T18:07:00Z</dcterms:modified>
</cp:coreProperties>
</file>